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995CC" w14:textId="77777777" w:rsidR="000E5053" w:rsidRDefault="000E5053" w:rsidP="00B706BB">
      <w:pPr>
        <w:ind w:right="31"/>
        <w:jc w:val="both"/>
        <w:rPr>
          <w:rFonts w:cstheme="minorHAnsi"/>
          <w:sz w:val="24"/>
          <w:szCs w:val="24"/>
        </w:rPr>
      </w:pPr>
      <w:bookmarkStart w:id="0" w:name="_GoBack"/>
      <w:bookmarkEnd w:id="0"/>
      <w:r w:rsidRPr="002179A0">
        <w:rPr>
          <w:noProof/>
          <w:lang w:eastAsia="sl-SI"/>
        </w:rPr>
        <w:drawing>
          <wp:anchor distT="0" distB="0" distL="114300" distR="114300" simplePos="0" relativeHeight="251661312" behindDoc="0" locked="0" layoutInCell="1" allowOverlap="1" wp14:anchorId="4C2D4991" wp14:editId="006C0B35">
            <wp:simplePos x="0" y="0"/>
            <wp:positionH relativeFrom="column">
              <wp:posOffset>3954145</wp:posOffset>
            </wp:positionH>
            <wp:positionV relativeFrom="paragraph">
              <wp:posOffset>322580</wp:posOffset>
            </wp:positionV>
            <wp:extent cx="2095200" cy="734400"/>
            <wp:effectExtent l="0" t="0" r="635" b="8890"/>
            <wp:wrapNone/>
            <wp:docPr id="2" name="Slika 4"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vitmanm\Desktop\naložba nov.JPG"/>
                    <pic:cNvPicPr>
                      <a:picLocks noChangeAspect="1" noChangeArrowheads="1"/>
                    </pic:cNvPicPr>
                  </pic:nvPicPr>
                  <pic:blipFill>
                    <a:blip r:embed="rId8"/>
                    <a:srcRect/>
                    <a:stretch>
                      <a:fillRect/>
                    </a:stretch>
                  </pic:blipFill>
                  <pic:spPr bwMode="auto">
                    <a:xfrm>
                      <a:off x="0" y="0"/>
                      <a:ext cx="2095200" cy="734400"/>
                    </a:xfrm>
                    <a:prstGeom prst="rect">
                      <a:avLst/>
                    </a:prstGeom>
                    <a:noFill/>
                    <a:ln w="9525">
                      <a:noFill/>
                      <a:miter lim="800000"/>
                      <a:headEnd/>
                      <a:tailEnd/>
                    </a:ln>
                  </pic:spPr>
                </pic:pic>
              </a:graphicData>
            </a:graphic>
          </wp:anchor>
        </w:drawing>
      </w:r>
    </w:p>
    <w:p w14:paraId="5154A4A0" w14:textId="77777777" w:rsidR="000E5053" w:rsidRDefault="000E5053" w:rsidP="00B706BB">
      <w:pPr>
        <w:ind w:right="31"/>
        <w:jc w:val="both"/>
        <w:rPr>
          <w:rFonts w:cstheme="minorHAnsi"/>
          <w:sz w:val="24"/>
          <w:szCs w:val="24"/>
        </w:rPr>
      </w:pPr>
      <w:r w:rsidRPr="002179A0">
        <w:rPr>
          <w:noProof/>
          <w:lang w:eastAsia="sl-SI"/>
        </w:rPr>
        <w:drawing>
          <wp:anchor distT="0" distB="0" distL="114300" distR="114300" simplePos="0" relativeHeight="251659264" behindDoc="0" locked="0" layoutInCell="1" allowOverlap="1" wp14:anchorId="4BF6A753" wp14:editId="507E0866">
            <wp:simplePos x="0" y="0"/>
            <wp:positionH relativeFrom="column">
              <wp:posOffset>-342900</wp:posOffset>
            </wp:positionH>
            <wp:positionV relativeFrom="paragraph">
              <wp:posOffset>290830</wp:posOffset>
            </wp:positionV>
            <wp:extent cx="2404800" cy="392400"/>
            <wp:effectExtent l="0" t="0" r="0" b="8255"/>
            <wp:wrapNone/>
            <wp:docPr id="3"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9"/>
                    <a:srcRect/>
                    <a:stretch>
                      <a:fillRect/>
                    </a:stretch>
                  </pic:blipFill>
                  <pic:spPr bwMode="auto">
                    <a:xfrm>
                      <a:off x="0" y="0"/>
                      <a:ext cx="2404800" cy="392400"/>
                    </a:xfrm>
                    <a:prstGeom prst="rect">
                      <a:avLst/>
                    </a:prstGeom>
                    <a:noFill/>
                    <a:ln w="9525">
                      <a:noFill/>
                      <a:miter lim="800000"/>
                      <a:headEnd/>
                      <a:tailEnd/>
                    </a:ln>
                  </pic:spPr>
                </pic:pic>
              </a:graphicData>
            </a:graphic>
          </wp:anchor>
        </w:drawing>
      </w:r>
    </w:p>
    <w:p w14:paraId="373C6F15" w14:textId="77777777" w:rsidR="000E5053" w:rsidRDefault="000E5053" w:rsidP="00B706BB">
      <w:pPr>
        <w:ind w:right="31"/>
        <w:jc w:val="both"/>
        <w:rPr>
          <w:rFonts w:cstheme="minorHAnsi"/>
          <w:sz w:val="24"/>
          <w:szCs w:val="24"/>
        </w:rPr>
      </w:pPr>
    </w:p>
    <w:p w14:paraId="247E541E" w14:textId="77777777" w:rsidR="000E5053" w:rsidRDefault="000E5053" w:rsidP="00B706BB">
      <w:pPr>
        <w:ind w:right="31"/>
        <w:jc w:val="both"/>
        <w:rPr>
          <w:rFonts w:cstheme="minorHAnsi"/>
          <w:sz w:val="24"/>
          <w:szCs w:val="24"/>
        </w:rPr>
      </w:pPr>
    </w:p>
    <w:p w14:paraId="1D6DD46C" w14:textId="77777777" w:rsidR="000E5053" w:rsidRDefault="000E5053" w:rsidP="007346B7">
      <w:pPr>
        <w:ind w:right="31"/>
        <w:jc w:val="center"/>
        <w:rPr>
          <w:rFonts w:cstheme="minorHAnsi"/>
          <w:sz w:val="24"/>
          <w:szCs w:val="24"/>
        </w:rPr>
      </w:pPr>
    </w:p>
    <w:p w14:paraId="197AFEB1" w14:textId="77777777" w:rsidR="000E5053" w:rsidRPr="00B706BB" w:rsidRDefault="000E5053" w:rsidP="007346B7">
      <w:pPr>
        <w:ind w:right="31"/>
        <w:jc w:val="center"/>
        <w:rPr>
          <w:rFonts w:cstheme="minorHAnsi"/>
          <w:sz w:val="24"/>
          <w:szCs w:val="24"/>
        </w:rPr>
      </w:pPr>
      <w:r w:rsidRPr="00B706BB">
        <w:rPr>
          <w:rFonts w:cstheme="minorHAnsi"/>
          <w:sz w:val="24"/>
          <w:szCs w:val="24"/>
        </w:rPr>
        <w:t>INFORMACIJE ZA BOLNIKE IN SOGLASJE ZA SODELOVANJE V KLINIČNI RAZISKAVI</w:t>
      </w:r>
    </w:p>
    <w:p w14:paraId="1E897C68" w14:textId="77777777" w:rsidR="0045740E" w:rsidRPr="00B706BB" w:rsidRDefault="004752E7" w:rsidP="007346B7">
      <w:pPr>
        <w:spacing w:before="240"/>
        <w:ind w:right="31"/>
        <w:jc w:val="center"/>
        <w:rPr>
          <w:rFonts w:cstheme="minorHAnsi"/>
          <w:b/>
          <w:sz w:val="28"/>
          <w:szCs w:val="24"/>
        </w:rPr>
      </w:pPr>
      <w:r w:rsidRPr="00B706BB">
        <w:rPr>
          <w:rFonts w:cstheme="minorHAnsi"/>
          <w:b/>
          <w:sz w:val="28"/>
          <w:szCs w:val="24"/>
        </w:rPr>
        <w:t xml:space="preserve">»Zdravljenje </w:t>
      </w:r>
      <w:r w:rsidR="00F55022">
        <w:rPr>
          <w:rFonts w:cstheme="minorHAnsi"/>
          <w:b/>
          <w:sz w:val="28"/>
          <w:szCs w:val="24"/>
        </w:rPr>
        <w:t xml:space="preserve">kožnih </w:t>
      </w:r>
      <w:r w:rsidRPr="00B706BB">
        <w:rPr>
          <w:rFonts w:cstheme="minorHAnsi"/>
          <w:b/>
          <w:sz w:val="28"/>
          <w:szCs w:val="24"/>
        </w:rPr>
        <w:t>tumorj</w:t>
      </w:r>
      <w:r w:rsidR="00F55022">
        <w:rPr>
          <w:rFonts w:cstheme="minorHAnsi"/>
          <w:b/>
          <w:sz w:val="28"/>
          <w:szCs w:val="24"/>
        </w:rPr>
        <w:t>ev glave in vratu z genskim elektroprenosom</w:t>
      </w:r>
      <w:r w:rsidRPr="00B706BB">
        <w:rPr>
          <w:rFonts w:cstheme="minorHAnsi"/>
          <w:b/>
          <w:sz w:val="28"/>
          <w:szCs w:val="24"/>
        </w:rPr>
        <w:t xml:space="preserve"> interlevkina 12«</w:t>
      </w:r>
    </w:p>
    <w:p w14:paraId="1B766CC9" w14:textId="77777777" w:rsidR="00B706BB" w:rsidRDefault="00B706BB" w:rsidP="00B706BB">
      <w:pPr>
        <w:spacing w:before="240"/>
        <w:ind w:right="31"/>
        <w:jc w:val="both"/>
        <w:rPr>
          <w:rFonts w:cstheme="minorHAnsi"/>
          <w:b/>
          <w:sz w:val="24"/>
          <w:szCs w:val="24"/>
        </w:rPr>
      </w:pPr>
    </w:p>
    <w:p w14:paraId="29382E0B" w14:textId="77777777" w:rsidR="00B706BB" w:rsidRDefault="00B706BB" w:rsidP="00B706BB">
      <w:pPr>
        <w:spacing w:before="240"/>
        <w:ind w:right="31"/>
        <w:jc w:val="both"/>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6"/>
      </w:tblGrid>
      <w:tr w:rsidR="00B706BB" w14:paraId="32D52B79" w14:textId="77777777" w:rsidTr="00B706BB">
        <w:tc>
          <w:tcPr>
            <w:tcW w:w="3114" w:type="dxa"/>
          </w:tcPr>
          <w:p w14:paraId="6B4B195C" w14:textId="77777777" w:rsidR="00B706BB" w:rsidRDefault="00B706BB" w:rsidP="00B706BB">
            <w:pPr>
              <w:spacing w:before="240"/>
              <w:ind w:right="31"/>
              <w:jc w:val="both"/>
              <w:rPr>
                <w:rFonts w:cstheme="minorHAnsi"/>
                <w:sz w:val="24"/>
                <w:szCs w:val="24"/>
              </w:rPr>
            </w:pPr>
            <w:r>
              <w:rPr>
                <w:rFonts w:cstheme="minorHAnsi"/>
                <w:sz w:val="24"/>
                <w:szCs w:val="24"/>
              </w:rPr>
              <w:t>Sponzor raziskave:</w:t>
            </w:r>
          </w:p>
        </w:tc>
        <w:tc>
          <w:tcPr>
            <w:tcW w:w="5946" w:type="dxa"/>
            <w:vAlign w:val="center"/>
          </w:tcPr>
          <w:p w14:paraId="3B18D58F" w14:textId="77777777" w:rsidR="00B706BB" w:rsidRDefault="00A115F6" w:rsidP="00B706BB">
            <w:pPr>
              <w:ind w:right="31"/>
              <w:jc w:val="both"/>
              <w:rPr>
                <w:rFonts w:cstheme="minorHAnsi"/>
                <w:sz w:val="24"/>
                <w:szCs w:val="24"/>
              </w:rPr>
            </w:pPr>
            <w:r>
              <w:rPr>
                <w:rFonts w:cstheme="minorHAnsi"/>
                <w:sz w:val="24"/>
                <w:szCs w:val="24"/>
              </w:rPr>
              <w:t>P</w:t>
            </w:r>
            <w:r w:rsidRPr="00A115F6">
              <w:rPr>
                <w:rFonts w:cstheme="minorHAnsi"/>
                <w:sz w:val="24"/>
                <w:szCs w:val="24"/>
              </w:rPr>
              <w:t>roizvodnja zdravilne učinkovine</w:t>
            </w:r>
            <w:r>
              <w:rPr>
                <w:rFonts w:cstheme="minorHAnsi"/>
                <w:sz w:val="24"/>
                <w:szCs w:val="24"/>
              </w:rPr>
              <w:t xml:space="preserve"> bo</w:t>
            </w:r>
            <w:r w:rsidRPr="00A115F6">
              <w:rPr>
                <w:rFonts w:cstheme="minorHAnsi"/>
                <w:sz w:val="24"/>
                <w:szCs w:val="24"/>
              </w:rPr>
              <w:t xml:space="preserve"> financir</w:t>
            </w:r>
            <w:r w:rsidR="00727456">
              <w:rPr>
                <w:rFonts w:cstheme="minorHAnsi"/>
                <w:sz w:val="24"/>
                <w:szCs w:val="24"/>
              </w:rPr>
              <w:t>ana s strani projekta SmarGene.S</w:t>
            </w:r>
            <w:r w:rsidRPr="00A115F6">
              <w:rPr>
                <w:rFonts w:cstheme="minorHAnsi"/>
                <w:sz w:val="24"/>
                <w:szCs w:val="24"/>
              </w:rPr>
              <w:t>i iz strukturiranih skladov EU in Ministrstva za izobraževanje, znanost in šport.</w:t>
            </w:r>
          </w:p>
          <w:p w14:paraId="42C5A198" w14:textId="77777777" w:rsidR="00B706BB" w:rsidRDefault="00B706BB" w:rsidP="00B706BB">
            <w:pPr>
              <w:ind w:right="31"/>
              <w:jc w:val="both"/>
              <w:rPr>
                <w:rFonts w:cstheme="minorHAnsi"/>
                <w:sz w:val="24"/>
                <w:szCs w:val="24"/>
              </w:rPr>
            </w:pPr>
          </w:p>
        </w:tc>
      </w:tr>
      <w:tr w:rsidR="00B706BB" w14:paraId="6C5C835B" w14:textId="77777777" w:rsidTr="00B706BB">
        <w:tc>
          <w:tcPr>
            <w:tcW w:w="3114" w:type="dxa"/>
            <w:vAlign w:val="center"/>
          </w:tcPr>
          <w:p w14:paraId="36F17FF9" w14:textId="77777777" w:rsidR="00B706BB" w:rsidRDefault="00B706BB" w:rsidP="00B706BB">
            <w:pPr>
              <w:ind w:right="31"/>
              <w:jc w:val="both"/>
              <w:rPr>
                <w:rFonts w:cstheme="minorHAnsi"/>
                <w:sz w:val="24"/>
                <w:szCs w:val="24"/>
              </w:rPr>
            </w:pPr>
            <w:r>
              <w:rPr>
                <w:rFonts w:cstheme="minorHAnsi"/>
                <w:sz w:val="24"/>
                <w:szCs w:val="24"/>
              </w:rPr>
              <w:t>Ustanova, ki izvaja raziskavo:</w:t>
            </w:r>
          </w:p>
        </w:tc>
        <w:tc>
          <w:tcPr>
            <w:tcW w:w="5946" w:type="dxa"/>
            <w:vAlign w:val="center"/>
          </w:tcPr>
          <w:p w14:paraId="69C74414" w14:textId="77777777" w:rsidR="00B706BB" w:rsidRDefault="00B706BB" w:rsidP="00B706BB">
            <w:pPr>
              <w:ind w:right="31"/>
              <w:jc w:val="both"/>
              <w:rPr>
                <w:rFonts w:cstheme="minorHAnsi"/>
                <w:sz w:val="24"/>
                <w:szCs w:val="24"/>
              </w:rPr>
            </w:pPr>
            <w:r>
              <w:rPr>
                <w:rFonts w:cstheme="minorHAnsi"/>
                <w:sz w:val="24"/>
                <w:szCs w:val="24"/>
              </w:rPr>
              <w:t>UKC</w:t>
            </w:r>
            <w:r w:rsidRPr="000E5053">
              <w:rPr>
                <w:rFonts w:cstheme="minorHAnsi"/>
                <w:sz w:val="24"/>
                <w:szCs w:val="24"/>
              </w:rPr>
              <w:t xml:space="preserve"> Ljubljana</w:t>
            </w:r>
            <w:r>
              <w:rPr>
                <w:rFonts w:cstheme="minorHAnsi"/>
                <w:sz w:val="24"/>
                <w:szCs w:val="24"/>
              </w:rPr>
              <w:t xml:space="preserve">, </w:t>
            </w:r>
          </w:p>
          <w:p w14:paraId="1C8B9E31" w14:textId="77777777" w:rsidR="00B706BB" w:rsidRDefault="00B706BB" w:rsidP="00B706BB">
            <w:pPr>
              <w:ind w:right="31"/>
              <w:jc w:val="both"/>
              <w:rPr>
                <w:rFonts w:cstheme="minorHAnsi"/>
                <w:sz w:val="24"/>
                <w:szCs w:val="24"/>
              </w:rPr>
            </w:pPr>
            <w:r w:rsidRPr="000E5053">
              <w:rPr>
                <w:rFonts w:cstheme="minorHAnsi"/>
                <w:sz w:val="24"/>
                <w:szCs w:val="24"/>
              </w:rPr>
              <w:t>Klinika za otorinolaringologijo in cervikofacialno kirurgijo</w:t>
            </w:r>
            <w:r>
              <w:rPr>
                <w:rFonts w:cstheme="minorHAnsi"/>
                <w:sz w:val="24"/>
                <w:szCs w:val="24"/>
              </w:rPr>
              <w:t xml:space="preserve">, </w:t>
            </w:r>
          </w:p>
          <w:p w14:paraId="334078FF" w14:textId="77777777" w:rsidR="00B706BB" w:rsidRDefault="00B706BB" w:rsidP="00B706BB">
            <w:pPr>
              <w:ind w:right="31"/>
              <w:jc w:val="both"/>
              <w:rPr>
                <w:rFonts w:cstheme="minorHAnsi"/>
                <w:sz w:val="24"/>
                <w:szCs w:val="24"/>
              </w:rPr>
            </w:pPr>
            <w:r w:rsidRPr="000E5053">
              <w:rPr>
                <w:rFonts w:cstheme="minorHAnsi"/>
                <w:sz w:val="24"/>
                <w:szCs w:val="24"/>
              </w:rPr>
              <w:t>Zaloška cesta 2, 1000 Ljubljana</w:t>
            </w:r>
          </w:p>
          <w:p w14:paraId="4B6E9525" w14:textId="77777777" w:rsidR="00B706BB" w:rsidRDefault="00B706BB" w:rsidP="00B706BB">
            <w:pPr>
              <w:ind w:right="31"/>
              <w:jc w:val="both"/>
              <w:rPr>
                <w:rFonts w:cstheme="minorHAnsi"/>
                <w:sz w:val="24"/>
                <w:szCs w:val="24"/>
              </w:rPr>
            </w:pPr>
          </w:p>
        </w:tc>
      </w:tr>
      <w:tr w:rsidR="00B706BB" w14:paraId="499EC2F8" w14:textId="77777777" w:rsidTr="00B706BB">
        <w:tc>
          <w:tcPr>
            <w:tcW w:w="3114" w:type="dxa"/>
            <w:vAlign w:val="center"/>
          </w:tcPr>
          <w:p w14:paraId="34282EDF" w14:textId="77777777" w:rsidR="00B706BB" w:rsidRDefault="00B706BB" w:rsidP="00B706BB">
            <w:pPr>
              <w:spacing w:before="240"/>
              <w:ind w:right="31"/>
              <w:jc w:val="both"/>
              <w:rPr>
                <w:rFonts w:cstheme="minorHAnsi"/>
                <w:sz w:val="24"/>
                <w:szCs w:val="24"/>
              </w:rPr>
            </w:pPr>
            <w:r>
              <w:rPr>
                <w:rFonts w:cstheme="minorHAnsi"/>
                <w:sz w:val="24"/>
                <w:szCs w:val="24"/>
              </w:rPr>
              <w:t>Glavni raziskovalec:</w:t>
            </w:r>
          </w:p>
        </w:tc>
        <w:tc>
          <w:tcPr>
            <w:tcW w:w="5946" w:type="dxa"/>
            <w:vAlign w:val="center"/>
          </w:tcPr>
          <w:p w14:paraId="049B01C0" w14:textId="77777777" w:rsidR="00B706BB" w:rsidRDefault="009279C6" w:rsidP="009279C6">
            <w:pPr>
              <w:spacing w:before="240"/>
              <w:ind w:right="31"/>
              <w:jc w:val="both"/>
              <w:rPr>
                <w:rFonts w:cstheme="minorHAnsi"/>
                <w:sz w:val="24"/>
                <w:szCs w:val="24"/>
              </w:rPr>
            </w:pPr>
            <w:r>
              <w:rPr>
                <w:rFonts w:cstheme="minorHAnsi"/>
                <w:sz w:val="24"/>
                <w:szCs w:val="24"/>
              </w:rPr>
              <w:t>d</w:t>
            </w:r>
            <w:r w:rsidR="007E3259">
              <w:rPr>
                <w:rFonts w:cstheme="minorHAnsi"/>
                <w:sz w:val="24"/>
                <w:szCs w:val="24"/>
              </w:rPr>
              <w:t>oc</w:t>
            </w:r>
            <w:r>
              <w:rPr>
                <w:rFonts w:cstheme="minorHAnsi"/>
                <w:sz w:val="24"/>
                <w:szCs w:val="24"/>
              </w:rPr>
              <w:t>. dr</w:t>
            </w:r>
            <w:r w:rsidR="00B706BB">
              <w:rPr>
                <w:rFonts w:cstheme="minorHAnsi"/>
                <w:sz w:val="24"/>
                <w:szCs w:val="24"/>
              </w:rPr>
              <w:t>. Aleš Grošelj, dr. med.</w:t>
            </w:r>
          </w:p>
        </w:tc>
      </w:tr>
    </w:tbl>
    <w:p w14:paraId="6AAA81FA" w14:textId="77777777" w:rsidR="000E5053" w:rsidRDefault="000E5053" w:rsidP="00B706BB">
      <w:pPr>
        <w:spacing w:before="240"/>
        <w:ind w:right="31"/>
        <w:jc w:val="both"/>
        <w:rPr>
          <w:rFonts w:cstheme="minorHAnsi"/>
          <w:sz w:val="24"/>
          <w:szCs w:val="24"/>
        </w:rPr>
      </w:pPr>
    </w:p>
    <w:p w14:paraId="2A494484" w14:textId="77777777" w:rsidR="00B706BB" w:rsidRDefault="00B706BB" w:rsidP="00B706BB">
      <w:pPr>
        <w:ind w:right="31"/>
        <w:jc w:val="both"/>
        <w:rPr>
          <w:rFonts w:cstheme="minorHAnsi"/>
        </w:rPr>
      </w:pPr>
    </w:p>
    <w:p w14:paraId="57D6369F" w14:textId="77777777" w:rsidR="00B706BB" w:rsidRDefault="00B706BB" w:rsidP="00B706BB">
      <w:pPr>
        <w:ind w:right="31"/>
        <w:jc w:val="both"/>
        <w:rPr>
          <w:rFonts w:cstheme="minorHAnsi"/>
        </w:rPr>
      </w:pPr>
    </w:p>
    <w:p w14:paraId="4FFA5438" w14:textId="77777777" w:rsidR="00B706BB" w:rsidRDefault="000E5053" w:rsidP="00B706BB">
      <w:pPr>
        <w:ind w:right="31"/>
        <w:jc w:val="both"/>
        <w:rPr>
          <w:rFonts w:cstheme="minorHAnsi"/>
          <w:sz w:val="24"/>
        </w:rPr>
      </w:pPr>
      <w:r w:rsidRPr="00B706BB">
        <w:rPr>
          <w:rFonts w:cstheme="minorHAnsi"/>
          <w:sz w:val="24"/>
        </w:rPr>
        <w:t>Spoštovani,</w:t>
      </w:r>
    </w:p>
    <w:p w14:paraId="517DB5BE" w14:textId="77777777" w:rsidR="00791AB4" w:rsidRPr="00B706BB" w:rsidRDefault="00B706BB" w:rsidP="00B706BB">
      <w:pPr>
        <w:ind w:right="31"/>
        <w:jc w:val="both"/>
        <w:rPr>
          <w:rFonts w:cstheme="minorHAnsi"/>
          <w:sz w:val="24"/>
        </w:rPr>
      </w:pPr>
      <w:r>
        <w:rPr>
          <w:rFonts w:cstheme="minorHAnsi"/>
          <w:sz w:val="24"/>
        </w:rPr>
        <w:t>p</w:t>
      </w:r>
      <w:r w:rsidR="000E5053" w:rsidRPr="00B706BB">
        <w:rPr>
          <w:rFonts w:cstheme="minorHAnsi"/>
          <w:sz w:val="24"/>
        </w:rPr>
        <w:t xml:space="preserve">ovabljeni ste k </w:t>
      </w:r>
      <w:r w:rsidR="00791AB4" w:rsidRPr="00B706BB">
        <w:rPr>
          <w:rFonts w:cstheme="minorHAnsi"/>
          <w:sz w:val="24"/>
        </w:rPr>
        <w:t xml:space="preserve">sodelovanju v klinični raziskavi, ki </w:t>
      </w:r>
      <w:r w:rsidR="00A115F6">
        <w:rPr>
          <w:rFonts w:cstheme="minorHAnsi"/>
          <w:sz w:val="24"/>
        </w:rPr>
        <w:t xml:space="preserve">bo preskušala učinkovitost </w:t>
      </w:r>
      <w:r w:rsidR="00791AB4" w:rsidRPr="00B706BB">
        <w:rPr>
          <w:rFonts w:cstheme="minorHAnsi"/>
          <w:sz w:val="24"/>
        </w:rPr>
        <w:t xml:space="preserve">genskega elektroprenosa </w:t>
      </w:r>
      <w:r w:rsidR="005B3B1E">
        <w:rPr>
          <w:rFonts w:cstheme="minorHAnsi"/>
          <w:sz w:val="24"/>
        </w:rPr>
        <w:t>plazmida, ki nosi zapis za interlevkin</w:t>
      </w:r>
      <w:r w:rsidR="00791AB4" w:rsidRPr="00B706BB">
        <w:rPr>
          <w:rFonts w:cstheme="minorHAnsi"/>
          <w:sz w:val="24"/>
        </w:rPr>
        <w:t xml:space="preserve"> IL-12 pri zdravljenju tumorjev v področju glave in vratu. Glede na vaše zdravstveno stanje vaš zdravnik meni, da bi vam sodelovanje v k</w:t>
      </w:r>
      <w:r w:rsidR="00140F31" w:rsidRPr="00B706BB">
        <w:rPr>
          <w:rFonts w:cstheme="minorHAnsi"/>
          <w:sz w:val="24"/>
        </w:rPr>
        <w:t>linični študiji lahko koristilo.</w:t>
      </w:r>
    </w:p>
    <w:p w14:paraId="5EB22C36" w14:textId="77777777" w:rsidR="000E5053" w:rsidRPr="00B706BB" w:rsidRDefault="00791AB4" w:rsidP="00B706BB">
      <w:pPr>
        <w:ind w:right="31"/>
        <w:jc w:val="both"/>
        <w:rPr>
          <w:rFonts w:cstheme="minorHAnsi"/>
          <w:sz w:val="24"/>
        </w:rPr>
      </w:pPr>
      <w:r w:rsidRPr="00B706BB">
        <w:rPr>
          <w:rFonts w:cstheme="minorHAnsi"/>
          <w:sz w:val="24"/>
        </w:rPr>
        <w:t>V nadaljevanju tega dokumenta vam bomo razložili namen študije in njene postopke, možna tveganja in koristi za vaše zdravje ter vam podali druge informacije, ki vam bodo v pomoč pri odločitvi ali boste sodeloval v študiji. Če menite, da niste dobili vseh informacij ali imate dodatna vprašanja, se, prosimo, posvetujete z zdravnikom raziskovalcem.</w:t>
      </w:r>
    </w:p>
    <w:p w14:paraId="74570CEC" w14:textId="77777777" w:rsidR="00140F31" w:rsidRDefault="00140F31" w:rsidP="00B706BB">
      <w:pPr>
        <w:ind w:right="31"/>
        <w:jc w:val="both"/>
        <w:rPr>
          <w:rFonts w:cstheme="minorHAnsi"/>
        </w:rPr>
      </w:pPr>
    </w:p>
    <w:p w14:paraId="4A97BCDC" w14:textId="54590E15" w:rsidR="00153533" w:rsidRPr="00A115F6" w:rsidRDefault="00C26DB0" w:rsidP="00B706BB">
      <w:pPr>
        <w:ind w:right="31"/>
        <w:jc w:val="both"/>
        <w:rPr>
          <w:rFonts w:cstheme="minorHAnsi"/>
        </w:rPr>
      </w:pPr>
      <w:r w:rsidRPr="00C26DB0">
        <w:rPr>
          <w:rFonts w:cstheme="minorHAnsi"/>
          <w:b/>
          <w:u w:val="single"/>
        </w:rPr>
        <w:t>Kaj je g</w:t>
      </w:r>
      <w:r w:rsidR="0045740E" w:rsidRPr="00C26DB0">
        <w:rPr>
          <w:rFonts w:cstheme="minorHAnsi"/>
          <w:b/>
          <w:u w:val="single"/>
        </w:rPr>
        <w:t xml:space="preserve">enski elektroprenos </w:t>
      </w:r>
      <w:r w:rsidR="00236E17">
        <w:rPr>
          <w:rFonts w:cstheme="minorHAnsi"/>
          <w:b/>
          <w:u w:val="single"/>
        </w:rPr>
        <w:t>plazmida, ki nosi zapis za interlevkin</w:t>
      </w:r>
      <w:r w:rsidR="0045740E" w:rsidRPr="00C26DB0">
        <w:rPr>
          <w:rFonts w:cstheme="minorHAnsi"/>
          <w:b/>
          <w:u w:val="single"/>
        </w:rPr>
        <w:t xml:space="preserve"> 12 </w:t>
      </w:r>
      <w:r w:rsidR="009F58EF" w:rsidRPr="00C26DB0">
        <w:rPr>
          <w:rFonts w:cstheme="minorHAnsi"/>
          <w:b/>
          <w:u w:val="single"/>
        </w:rPr>
        <w:t>(IL-12)</w:t>
      </w:r>
      <w:r w:rsidRPr="00C26DB0">
        <w:rPr>
          <w:rFonts w:cstheme="minorHAnsi"/>
          <w:b/>
          <w:u w:val="single"/>
        </w:rPr>
        <w:t>?</w:t>
      </w:r>
    </w:p>
    <w:p w14:paraId="3A3518F7" w14:textId="77777777" w:rsidR="00226123" w:rsidRPr="00AD5AFD" w:rsidRDefault="00A115F6" w:rsidP="00B706BB">
      <w:pPr>
        <w:spacing w:before="240"/>
        <w:ind w:right="31"/>
        <w:jc w:val="both"/>
        <w:rPr>
          <w:rFonts w:cstheme="minorHAnsi"/>
        </w:rPr>
      </w:pPr>
      <w:r w:rsidRPr="00AD5AFD">
        <w:rPr>
          <w:rFonts w:cstheme="minorHAnsi"/>
        </w:rPr>
        <w:t>Genski</w:t>
      </w:r>
      <w:r w:rsidR="00E55D0D" w:rsidRPr="00AD5AFD">
        <w:rPr>
          <w:rFonts w:cstheme="minorHAnsi"/>
        </w:rPr>
        <w:t xml:space="preserve"> elektroprenos </w:t>
      </w:r>
      <w:r w:rsidR="00F61A42" w:rsidRPr="00AD5AFD">
        <w:rPr>
          <w:rFonts w:cstheme="minorHAnsi"/>
        </w:rPr>
        <w:t>je postopek vnosa genskega materiala z zapisom za zdravilo v celico. Vnos izvedemo z elektroporacijo</w:t>
      </w:r>
      <w:r w:rsidR="00A7041B" w:rsidRPr="00AD5AFD">
        <w:rPr>
          <w:rFonts w:cstheme="minorHAnsi"/>
        </w:rPr>
        <w:t>, fizikalno metodo vnosa učinkovin, ki s pomočjo električnega toka poveča prepustnost celične membrane za prehajanje učinkovin v celice</w:t>
      </w:r>
      <w:r w:rsidR="00F61A42" w:rsidRPr="00AD5AFD">
        <w:rPr>
          <w:rFonts w:cstheme="minorHAnsi"/>
        </w:rPr>
        <w:t xml:space="preserve">. Genski material </w:t>
      </w:r>
      <w:r w:rsidR="00C26DB0" w:rsidRPr="00AD5AFD">
        <w:rPr>
          <w:rFonts w:cstheme="minorHAnsi"/>
        </w:rPr>
        <w:t xml:space="preserve">v primeru predlagane raziskave </w:t>
      </w:r>
      <w:r w:rsidR="00F61A42" w:rsidRPr="00AD5AFD">
        <w:rPr>
          <w:rFonts w:cstheme="minorHAnsi"/>
        </w:rPr>
        <w:t xml:space="preserve">nosi zapis za IL-12, ki je </w:t>
      </w:r>
      <w:r w:rsidR="009F58EF" w:rsidRPr="00AD5AFD">
        <w:rPr>
          <w:rFonts w:cstheme="minorHAnsi"/>
        </w:rPr>
        <w:t xml:space="preserve">beljakovina </w:t>
      </w:r>
      <w:r w:rsidR="00F61A42" w:rsidRPr="00AD5AFD">
        <w:rPr>
          <w:rFonts w:cstheme="minorHAnsi"/>
        </w:rPr>
        <w:t xml:space="preserve">s sposobnostjo spodbujanja imunskega sistema organizma. Na ta način spodbudimo </w:t>
      </w:r>
      <w:r w:rsidR="009F58EF" w:rsidRPr="00AD5AFD">
        <w:rPr>
          <w:rFonts w:cstheme="minorHAnsi"/>
        </w:rPr>
        <w:t xml:space="preserve">naše lastne </w:t>
      </w:r>
      <w:r w:rsidR="00F61A42" w:rsidRPr="00AD5AFD">
        <w:rPr>
          <w:rFonts w:cstheme="minorHAnsi"/>
        </w:rPr>
        <w:t xml:space="preserve">imunske celice k večji aktivnosti proti tumorskim celicam. </w:t>
      </w:r>
    </w:p>
    <w:p w14:paraId="220B9BCA" w14:textId="77777777" w:rsidR="00485E8A" w:rsidRPr="00485E8A" w:rsidRDefault="00C26DB0" w:rsidP="00B706BB">
      <w:pPr>
        <w:jc w:val="both"/>
        <w:rPr>
          <w:b/>
          <w:u w:val="single"/>
        </w:rPr>
      </w:pPr>
      <w:r>
        <w:rPr>
          <w:b/>
          <w:u w:val="single"/>
        </w:rPr>
        <w:t>Kako bo potekalo z</w:t>
      </w:r>
      <w:r w:rsidR="00485E8A" w:rsidRPr="00485E8A">
        <w:rPr>
          <w:b/>
          <w:u w:val="single"/>
        </w:rPr>
        <w:t>dravljenje</w:t>
      </w:r>
      <w:r>
        <w:rPr>
          <w:b/>
          <w:u w:val="single"/>
        </w:rPr>
        <w:t>?</w:t>
      </w:r>
    </w:p>
    <w:p w14:paraId="326468FA" w14:textId="77777777" w:rsidR="009F58EF" w:rsidRPr="002638FE" w:rsidRDefault="009F58EF" w:rsidP="00B706BB">
      <w:pPr>
        <w:jc w:val="both"/>
      </w:pPr>
      <w:r w:rsidRPr="002638FE">
        <w:t>Poseg se lahko izvaja v splošni anesteziji</w:t>
      </w:r>
      <w:r w:rsidR="00DE01F2">
        <w:t xml:space="preserve">, </w:t>
      </w:r>
      <w:r w:rsidRPr="002638FE">
        <w:t>intrav</w:t>
      </w:r>
      <w:r w:rsidR="00F11A67">
        <w:t>enozni sedaciji</w:t>
      </w:r>
      <w:r w:rsidRPr="002638FE">
        <w:t xml:space="preserve"> </w:t>
      </w:r>
      <w:r w:rsidR="00DE01F2">
        <w:t>ali</w:t>
      </w:r>
      <w:r w:rsidRPr="002638FE">
        <w:t xml:space="preserve"> </w:t>
      </w:r>
      <w:r w:rsidR="00F11A67">
        <w:t>lokalni anesteziji</w:t>
      </w:r>
      <w:r w:rsidR="00DE01F2">
        <w:t xml:space="preserve">. </w:t>
      </w:r>
      <w:r w:rsidRPr="002638FE">
        <w:t xml:space="preserve">Vrsta </w:t>
      </w:r>
      <w:r w:rsidR="00AC33E3">
        <w:t>ane</w:t>
      </w:r>
      <w:r w:rsidR="001540B2">
        <w:t xml:space="preserve">stezije bo </w:t>
      </w:r>
      <w:r w:rsidRPr="002638FE">
        <w:t>odvisna od anatomske lokacije</w:t>
      </w:r>
      <w:r w:rsidR="00813168">
        <w:t xml:space="preserve"> lezije</w:t>
      </w:r>
      <w:r w:rsidR="00C26DB0">
        <w:t xml:space="preserve"> in se določi po presoji odgovornega zdravnika.</w:t>
      </w:r>
    </w:p>
    <w:p w14:paraId="511C1B6E" w14:textId="77777777" w:rsidR="009062EC" w:rsidRDefault="00813168" w:rsidP="00B706BB">
      <w:pPr>
        <w:ind w:right="31"/>
        <w:jc w:val="both"/>
      </w:pPr>
      <w:r>
        <w:t>Zdravljenje vključuje</w:t>
      </w:r>
      <w:r w:rsidR="00485E8A" w:rsidRPr="002638FE">
        <w:t xml:space="preserve"> </w:t>
      </w:r>
      <w:r w:rsidR="00C26DB0">
        <w:t>injiciranje genskega materiala,</w:t>
      </w:r>
      <w:r w:rsidR="00757108">
        <w:t xml:space="preserve"> plazmida </w:t>
      </w:r>
      <w:r>
        <w:t>phIL</w:t>
      </w:r>
      <w:r w:rsidR="00757108">
        <w:t>12</w:t>
      </w:r>
      <w:r w:rsidR="00C26DB0">
        <w:t xml:space="preserve">, </w:t>
      </w:r>
      <w:r w:rsidR="009062EC">
        <w:t xml:space="preserve">v </w:t>
      </w:r>
      <w:r w:rsidR="009F58EF">
        <w:t>tumorsko</w:t>
      </w:r>
      <w:r w:rsidR="009062EC">
        <w:t xml:space="preserve"> lezij</w:t>
      </w:r>
      <w:r w:rsidR="009F58EF">
        <w:t>o</w:t>
      </w:r>
      <w:r w:rsidR="009062EC">
        <w:t>.</w:t>
      </w:r>
      <w:r w:rsidR="009062EC" w:rsidRPr="009062EC">
        <w:t xml:space="preserve"> </w:t>
      </w:r>
      <w:r w:rsidR="009062EC">
        <w:t>S</w:t>
      </w:r>
      <w:r w:rsidR="009062EC" w:rsidRPr="002638FE">
        <w:t>ledi</w:t>
      </w:r>
      <w:r w:rsidR="009F58EF">
        <w:t xml:space="preserve"> </w:t>
      </w:r>
      <w:r w:rsidR="009062EC" w:rsidRPr="002638FE">
        <w:t xml:space="preserve">lokalno dovajanje električnih </w:t>
      </w:r>
      <w:r w:rsidR="009062EC" w:rsidRPr="00A7041B">
        <w:t>pulzov za povečanje prepustnosti celičnih membran.</w:t>
      </w:r>
      <w:r w:rsidR="009F58EF" w:rsidRPr="00A7041B">
        <w:t xml:space="preserve"> </w:t>
      </w:r>
    </w:p>
    <w:p w14:paraId="3E553848" w14:textId="77777777" w:rsidR="00485E8A" w:rsidRDefault="00E851E3" w:rsidP="00B706BB">
      <w:pPr>
        <w:jc w:val="both"/>
      </w:pPr>
      <w:r>
        <w:t>V</w:t>
      </w:r>
      <w:r w:rsidR="00DE01F2">
        <w:t xml:space="preserve"> tumorsko lezijo bo zdravnik </w:t>
      </w:r>
      <w:r>
        <w:t>vbrizgal raztopino plazmida</w:t>
      </w:r>
      <w:r w:rsidR="00131396">
        <w:t xml:space="preserve"> ph</w:t>
      </w:r>
      <w:r>
        <w:t>IL12. Potem</w:t>
      </w:r>
      <w:r w:rsidR="002951C0">
        <w:t xml:space="preserve"> bomo na</w:t>
      </w:r>
      <w:r w:rsidR="00812E2A">
        <w:t xml:space="preserve"> to</w:t>
      </w:r>
      <w:r w:rsidR="00485E8A" w:rsidRPr="002638FE">
        <w:t xml:space="preserve"> tumorsk</w:t>
      </w:r>
      <w:r w:rsidR="00427C02">
        <w:t>o</w:t>
      </w:r>
      <w:r w:rsidR="00485E8A" w:rsidRPr="002638FE">
        <w:t xml:space="preserve"> lezij</w:t>
      </w:r>
      <w:r w:rsidR="00812E2A">
        <w:t>o</w:t>
      </w:r>
      <w:r w:rsidR="002951C0">
        <w:t xml:space="preserve"> </w:t>
      </w:r>
      <w:r>
        <w:t>dovedli</w:t>
      </w:r>
      <w:r w:rsidRPr="002638FE">
        <w:t xml:space="preserve"> električne pulze</w:t>
      </w:r>
      <w:r>
        <w:t xml:space="preserve">. To bomo izvedli </w:t>
      </w:r>
      <w:r w:rsidR="001750F7">
        <w:t xml:space="preserve">z </w:t>
      </w:r>
      <w:r>
        <w:t xml:space="preserve">generatorjem električnih pulzov in </w:t>
      </w:r>
      <w:r w:rsidR="00485E8A" w:rsidRPr="002638FE">
        <w:t>elektrod</w:t>
      </w:r>
      <w:r w:rsidR="001750F7">
        <w:t xml:space="preserve">ami, ki </w:t>
      </w:r>
      <w:r>
        <w:t xml:space="preserve">se ustaljeno </w:t>
      </w:r>
      <w:r w:rsidR="00C555C4">
        <w:t xml:space="preserve">uporabljajo v kliničnem okolju. </w:t>
      </w:r>
      <w:r w:rsidR="000A685C">
        <w:t>Po zdravljenju</w:t>
      </w:r>
      <w:r w:rsidRPr="00236E17">
        <w:t xml:space="preserve"> boste</w:t>
      </w:r>
      <w:r w:rsidR="00485E8A" w:rsidRPr="00236E17">
        <w:t xml:space="preserve"> osta</w:t>
      </w:r>
      <w:r w:rsidRPr="00236E17">
        <w:t>li</w:t>
      </w:r>
      <w:r w:rsidR="00485E8A" w:rsidRPr="00236E17">
        <w:t xml:space="preserve"> na opazovanju v bolnišnici, </w:t>
      </w:r>
      <w:r w:rsidR="00485E8A" w:rsidRPr="002638FE">
        <w:t xml:space="preserve">dokler </w:t>
      </w:r>
      <w:r>
        <w:t>ne bo vaš zdravnik presodil, da ste primerni</w:t>
      </w:r>
      <w:r w:rsidR="00D22638">
        <w:t xml:space="preserve"> za odpust v domačo oskrbo.</w:t>
      </w:r>
      <w:r w:rsidR="00FA1D20">
        <w:t xml:space="preserve"> </w:t>
      </w:r>
      <w:r w:rsidR="000A685C">
        <w:t>Zdravljenje</w:t>
      </w:r>
      <w:r w:rsidR="00F8315E">
        <w:t xml:space="preserve"> s plazmidom phIL12 bomo izvedli enkrat.</w:t>
      </w:r>
    </w:p>
    <w:p w14:paraId="665CFC85" w14:textId="77777777" w:rsidR="00140F31" w:rsidRDefault="00003EFF" w:rsidP="00B706BB">
      <w:pPr>
        <w:jc w:val="both"/>
      </w:pPr>
      <w:r>
        <w:t>Po izvedenem zdravljenju</w:t>
      </w:r>
      <w:r w:rsidR="00E851E3">
        <w:t xml:space="preserve"> vas bomo prosili, da </w:t>
      </w:r>
      <w:r w:rsidR="00E851E3" w:rsidRPr="00AC33E3">
        <w:t xml:space="preserve">pridete </w:t>
      </w:r>
      <w:r w:rsidR="00427C02" w:rsidRPr="00AC33E3">
        <w:t xml:space="preserve">na kontrolni pregled </w:t>
      </w:r>
      <w:r w:rsidR="00F11A67" w:rsidRPr="00AC33E3">
        <w:t>2</w:t>
      </w:r>
      <w:r w:rsidR="00DE01F2">
        <w:t>, 7</w:t>
      </w:r>
      <w:r w:rsidR="00F11A67" w:rsidRPr="00AC33E3">
        <w:t xml:space="preserve"> in 30 dni</w:t>
      </w:r>
      <w:r w:rsidR="00427C02" w:rsidRPr="00AC33E3">
        <w:t xml:space="preserve"> </w:t>
      </w:r>
      <w:r w:rsidR="00F11A67" w:rsidRPr="00AC33E3">
        <w:t xml:space="preserve">po </w:t>
      </w:r>
      <w:r w:rsidR="00152699">
        <w:t xml:space="preserve">genski </w:t>
      </w:r>
      <w:r w:rsidR="00F11A67" w:rsidRPr="00AC33E3">
        <w:t xml:space="preserve">terapiji. </w:t>
      </w:r>
      <w:r w:rsidR="00427C02" w:rsidRPr="00AC33E3">
        <w:t xml:space="preserve">Na teh pregledih bo vaš zdravnik spremljal vaše splošno zdravstveno stanje in počutje ter natančno pregledal </w:t>
      </w:r>
      <w:r w:rsidR="00DE01F2">
        <w:t>zdravljeno tumorsko lezijo</w:t>
      </w:r>
      <w:r w:rsidR="00427C02" w:rsidRPr="00427C02">
        <w:t xml:space="preserve">. Za namen ugotavljanja učinkovitosti </w:t>
      </w:r>
      <w:r w:rsidR="008516B3">
        <w:t>zdravljenja</w:t>
      </w:r>
      <w:r w:rsidR="00427C02" w:rsidRPr="00427C02">
        <w:t xml:space="preserve">, vam bo na vsakem pregledu odvzel vzorec krvi in sline, ter opravil bris kože na mestu terapije. </w:t>
      </w:r>
      <w:r w:rsidR="00427C02">
        <w:t>Tumor, ki se na novo zdravljenje ne bo odzval, bo</w:t>
      </w:r>
      <w:r w:rsidR="00AC33E3">
        <w:t>mo</w:t>
      </w:r>
      <w:r w:rsidR="00427C02">
        <w:t xml:space="preserve"> 30. dan</w:t>
      </w:r>
      <w:r w:rsidR="00F12182">
        <w:t xml:space="preserve"> </w:t>
      </w:r>
      <w:r w:rsidR="004773BD">
        <w:t>po</w:t>
      </w:r>
      <w:r w:rsidR="00F12182">
        <w:t xml:space="preserve"> terapij</w:t>
      </w:r>
      <w:r w:rsidR="004773BD">
        <w:t>i</w:t>
      </w:r>
      <w:r w:rsidR="00427C02">
        <w:t xml:space="preserve"> kirurško odstran</w:t>
      </w:r>
      <w:r w:rsidR="00AC33E3">
        <w:t>ili</w:t>
      </w:r>
      <w:r w:rsidR="00427C02">
        <w:t>.</w:t>
      </w:r>
      <w:r w:rsidR="00E851E3">
        <w:t xml:space="preserve"> </w:t>
      </w:r>
      <w:r w:rsidR="009E6892">
        <w:t>Klinična raziskava je zasnovana kot raziskava faze I in predvideva vključitev do 18 bolnikov.</w:t>
      </w:r>
    </w:p>
    <w:p w14:paraId="18505668" w14:textId="77777777" w:rsidR="00140F31" w:rsidRDefault="00140F31" w:rsidP="00B706BB">
      <w:pPr>
        <w:jc w:val="both"/>
        <w:rPr>
          <w:b/>
          <w:u w:val="single"/>
        </w:rPr>
      </w:pPr>
      <w:r w:rsidRPr="00140F31">
        <w:rPr>
          <w:b/>
          <w:u w:val="single"/>
        </w:rPr>
        <w:t>Kaj še vključuje sodelovanje v klinični raziskavi?</w:t>
      </w:r>
    </w:p>
    <w:p w14:paraId="5D0F9052" w14:textId="4DC10D86" w:rsidR="007C340C" w:rsidRDefault="007C340C" w:rsidP="00B706BB">
      <w:pPr>
        <w:jc w:val="both"/>
      </w:pPr>
      <w:r>
        <w:t xml:space="preserve">Z vključitvijo v študijo ste privolili tudi v </w:t>
      </w:r>
      <w:r w:rsidRPr="007C340C">
        <w:t>anonim</w:t>
      </w:r>
      <w:r w:rsidR="007013E3">
        <w:t>izirano</w:t>
      </w:r>
      <w:r w:rsidRPr="007C340C">
        <w:t xml:space="preserve"> objavo </w:t>
      </w:r>
      <w:r>
        <w:t>izsledkov</w:t>
      </w:r>
      <w:r w:rsidRPr="007C340C">
        <w:t xml:space="preserve"> zdravljenja ter slikovnega materiala tumorjev, diagno</w:t>
      </w:r>
      <w:r>
        <w:t>stičnih podatkov in mikroskopsk</w:t>
      </w:r>
      <w:r w:rsidR="00FD27F1">
        <w:t>e</w:t>
      </w:r>
      <w:r w:rsidRPr="007C340C">
        <w:t xml:space="preserve"> analize tumorjev</w:t>
      </w:r>
      <w:r w:rsidR="007013E3">
        <w:t>, kot tudi demografskih podatkov.</w:t>
      </w:r>
    </w:p>
    <w:p w14:paraId="39209100" w14:textId="77777777" w:rsidR="002014F9" w:rsidRPr="002014F9" w:rsidRDefault="002014F9" w:rsidP="00B706BB">
      <w:pPr>
        <w:jc w:val="both"/>
        <w:rPr>
          <w:b/>
          <w:u w:val="single"/>
        </w:rPr>
      </w:pPr>
      <w:r w:rsidRPr="002014F9">
        <w:rPr>
          <w:b/>
          <w:u w:val="single"/>
        </w:rPr>
        <w:t>Kako bodo zaščiteni vaši podatki?</w:t>
      </w:r>
    </w:p>
    <w:p w14:paraId="31678677" w14:textId="74CB2CC3" w:rsidR="00423DFC" w:rsidRPr="00D337A9" w:rsidRDefault="00423DFC" w:rsidP="00B706BB">
      <w:pPr>
        <w:jc w:val="both"/>
      </w:pPr>
      <w:r w:rsidRPr="00D337A9">
        <w:t>Na vseh dokumentih, ki bodo zbrani za namen analize podatkov, boste identificiran</w:t>
      </w:r>
      <w:r w:rsidR="00427686">
        <w:t>i</w:t>
      </w:r>
      <w:r w:rsidRPr="00D337A9">
        <w:t xml:space="preserve"> samo s kodo, določeno posebej za to klinično raziskavo.</w:t>
      </w:r>
    </w:p>
    <w:p w14:paraId="6B9E586C" w14:textId="77777777" w:rsidR="002014F9" w:rsidRDefault="002014F9" w:rsidP="00B706BB">
      <w:pPr>
        <w:jc w:val="both"/>
      </w:pPr>
      <w:r>
        <w:t>Ime ali katerikoli drug podatek, ki bi lahko direktno razkril vašo identiteto, ne bo vključen v nobenem dokumentu, ki bo zapustil raziskovalni center in ne bo uporabljen v analizi podatkov iz klinične raziskave.</w:t>
      </w:r>
    </w:p>
    <w:p w14:paraId="34B3153B" w14:textId="77777777" w:rsidR="002014F9" w:rsidRPr="001540B2" w:rsidRDefault="002014F9" w:rsidP="00B706BB">
      <w:pPr>
        <w:jc w:val="both"/>
      </w:pPr>
      <w:r w:rsidRPr="001540B2">
        <w:lastRenderedPageBreak/>
        <w:t>Dostop do študijske dokumentacije bo omejen samo na raziskovalno osebje in nekatere druge usposobljene strokovnjake za namene nadzora in inšpekcije. Ti strokovnjaki bodo imeli dostop do informacij samo na raziskovalnem centru in ne smejo deliti informacij izven raziskovalnega centra.</w:t>
      </w:r>
    </w:p>
    <w:p w14:paraId="554244C9" w14:textId="77777777" w:rsidR="000339A0" w:rsidRPr="00EA2076" w:rsidRDefault="000339A0" w:rsidP="00B706BB">
      <w:pPr>
        <w:jc w:val="both"/>
      </w:pPr>
      <w:r w:rsidRPr="00EA2076">
        <w:t>Kot udeleženec v raziskavi imate pravico kadarkoli pridobiti informacijo o osebnih podatkih, ki jih izvajalec raziskave zbira in obdeluje (vključno z brezplačno izdelavo kopije), in lahko zahtevate popravek ali izbris</w:t>
      </w:r>
      <w:r w:rsidR="00423DFC" w:rsidRPr="00EA2076">
        <w:t>,</w:t>
      </w:r>
      <w:r w:rsidRPr="00EA2076">
        <w:t xml:space="preserve"> skladno z uredbo in področno zakonodajo. Poleg tega</w:t>
      </w:r>
      <w:r w:rsidR="00423DFC" w:rsidRPr="00EA2076">
        <w:t xml:space="preserve"> imate</w:t>
      </w:r>
      <w:r w:rsidRPr="00EA2076">
        <w:t xml:space="preserve"> pravico do pritožbe pri nadzornem organu (Informacijski pooblaščenec RS).</w:t>
      </w:r>
    </w:p>
    <w:p w14:paraId="6A55B061" w14:textId="77777777" w:rsidR="00B706BB" w:rsidRPr="00D81F08" w:rsidRDefault="00423DFC" w:rsidP="00717F63">
      <w:pPr>
        <w:jc w:val="both"/>
      </w:pPr>
      <w:r w:rsidRPr="00EA2076">
        <w:t xml:space="preserve">Pooblaščene oseba za varstvo podatkov na Onkološkem Inštitutu je ga. Taja Džambasović, univ. dipl. prav., elektronski naslov: </w:t>
      </w:r>
      <w:hyperlink r:id="rId10" w:history="1">
        <w:r w:rsidRPr="00EA2076">
          <w:rPr>
            <w:rStyle w:val="Hyperlink"/>
          </w:rPr>
          <w:t>tdžambasović@onko-i.si</w:t>
        </w:r>
      </w:hyperlink>
      <w:r w:rsidRPr="00EA2076">
        <w:t xml:space="preserve">, </w:t>
      </w:r>
      <w:r w:rsidRPr="00D81F08">
        <w:t>tel:</w:t>
      </w:r>
      <w:r w:rsidRPr="00EA2076">
        <w:t xml:space="preserve"> </w:t>
      </w:r>
      <w:r w:rsidR="00EA2076" w:rsidRPr="00EA2076">
        <w:t>+</w:t>
      </w:r>
      <w:r w:rsidR="00EA2076">
        <w:t xml:space="preserve">386 1 </w:t>
      </w:r>
      <w:r w:rsidR="00EA2076" w:rsidRPr="00EA2076">
        <w:t>587-9058</w:t>
      </w:r>
    </w:p>
    <w:p w14:paraId="745C5F83" w14:textId="77777777" w:rsidR="003E600F" w:rsidRPr="00315810" w:rsidRDefault="00140F31" w:rsidP="00B706BB">
      <w:pPr>
        <w:ind w:right="31"/>
        <w:jc w:val="both"/>
        <w:rPr>
          <w:b/>
        </w:rPr>
      </w:pPr>
      <w:r>
        <w:rPr>
          <w:b/>
          <w:u w:val="single"/>
        </w:rPr>
        <w:t>Kakšne so možne koristi za vas?</w:t>
      </w:r>
    </w:p>
    <w:p w14:paraId="16C92279" w14:textId="77777777" w:rsidR="00140F31" w:rsidRPr="00D337A9" w:rsidRDefault="00717F63" w:rsidP="00B706BB">
      <w:pPr>
        <w:ind w:right="31"/>
        <w:jc w:val="both"/>
      </w:pPr>
      <w:r w:rsidRPr="00D337A9">
        <w:t>G</w:t>
      </w:r>
      <w:r w:rsidR="00140F31" w:rsidRPr="00D337A9">
        <w:t xml:space="preserve">enski elektroprenos </w:t>
      </w:r>
      <w:r w:rsidRPr="00D337A9">
        <w:t>IL-12 je dokazano učinkovita metoda</w:t>
      </w:r>
      <w:r w:rsidR="00140F31" w:rsidRPr="00D337A9">
        <w:t xml:space="preserve"> zdravljenja tumorjev. </w:t>
      </w:r>
      <w:r w:rsidR="00A15A9A" w:rsidRPr="00D337A9">
        <w:t>R</w:t>
      </w:r>
      <w:r w:rsidR="00140F31" w:rsidRPr="00D337A9">
        <w:t xml:space="preserve">ezultati </w:t>
      </w:r>
      <w:r w:rsidR="00A15A9A">
        <w:t>že opravljenih</w:t>
      </w:r>
      <w:r w:rsidR="00140F31">
        <w:t xml:space="preserve"> študij genske terapije z IL-12</w:t>
      </w:r>
      <w:r w:rsidR="00A15A9A">
        <w:t xml:space="preserve"> v tujini</w:t>
      </w:r>
      <w:r w:rsidR="00140F31">
        <w:t xml:space="preserve"> </w:t>
      </w:r>
      <w:r w:rsidR="00A15A9A">
        <w:t>kaž</w:t>
      </w:r>
      <w:r>
        <w:t>ejo učinek tudi na metastaze</w:t>
      </w:r>
      <w:r w:rsidRPr="00D337A9">
        <w:t>. Z opisano</w:t>
      </w:r>
      <w:r w:rsidR="00A15A9A" w:rsidRPr="00D337A9">
        <w:t xml:space="preserve"> metod</w:t>
      </w:r>
      <w:r w:rsidRPr="00D337A9">
        <w:t>o</w:t>
      </w:r>
      <w:r w:rsidR="00140F31" w:rsidRPr="00D337A9">
        <w:t xml:space="preserve"> pričakujemo boljšo lokalno kontrolo rasti zdravljenih tumorjev</w:t>
      </w:r>
      <w:r w:rsidR="00A15A9A" w:rsidRPr="00D337A9">
        <w:t>, kakor tudi potencialno pre</w:t>
      </w:r>
      <w:r w:rsidR="006A6775" w:rsidRPr="00D337A9">
        <w:t>prečitev vznika novih tumorjev.</w:t>
      </w:r>
    </w:p>
    <w:p w14:paraId="3D3C356D" w14:textId="77777777" w:rsidR="00A15A9A" w:rsidRDefault="00A15A9A" w:rsidP="00B706BB">
      <w:pPr>
        <w:ind w:right="31"/>
        <w:jc w:val="both"/>
      </w:pPr>
      <w:r>
        <w:t>Kot pri vseh terapevtskih možnostih so tudi v načrtovani raziskavi možni izidi zdravljenja p</w:t>
      </w:r>
      <w:r w:rsidR="00347A1B" w:rsidRPr="00315810">
        <w:t>opolno izgin</w:t>
      </w:r>
      <w:r>
        <w:t>otje tumorja/ev, delno izginotje tumorja/ev,</w:t>
      </w:r>
      <w:r w:rsidR="00347A1B" w:rsidRPr="00315810">
        <w:t xml:space="preserve"> ali zaustavi</w:t>
      </w:r>
      <w:r>
        <w:t xml:space="preserve">tev nadaljnje rasti tumorja/ev. </w:t>
      </w:r>
      <w:r w:rsidR="00B706BB">
        <w:t>Kot</w:t>
      </w:r>
      <w:r w:rsidR="00AD06DD">
        <w:t xml:space="preserve"> pri vseh oblikah zdravljenja, pri</w:t>
      </w:r>
      <w:r w:rsidR="00D57094">
        <w:t xml:space="preserve"> določenem deležu bolnik</w:t>
      </w:r>
      <w:r>
        <w:t xml:space="preserve">ov žal pride tudi do neodzivnosti </w:t>
      </w:r>
      <w:r w:rsidR="00AD06DD">
        <w:t xml:space="preserve">tumorja </w:t>
      </w:r>
      <w:r>
        <w:t xml:space="preserve">na </w:t>
      </w:r>
      <w:r w:rsidR="00D22FC7">
        <w:t>zdravljenje</w:t>
      </w:r>
      <w:r>
        <w:t xml:space="preserve">. </w:t>
      </w:r>
    </w:p>
    <w:p w14:paraId="49DA7CA6" w14:textId="77777777" w:rsidR="003E600F" w:rsidRPr="00A9332E" w:rsidRDefault="00A9332E" w:rsidP="00B706BB">
      <w:pPr>
        <w:spacing w:before="240"/>
        <w:ind w:right="31"/>
        <w:jc w:val="both"/>
        <w:rPr>
          <w:u w:val="single"/>
        </w:rPr>
      </w:pPr>
      <w:r w:rsidRPr="00A9332E">
        <w:rPr>
          <w:b/>
          <w:u w:val="single"/>
        </w:rPr>
        <w:t>Kakšna so potencialna t</w:t>
      </w:r>
      <w:r>
        <w:rPr>
          <w:b/>
          <w:u w:val="single"/>
        </w:rPr>
        <w:t>veganja</w:t>
      </w:r>
      <w:r w:rsidR="003E600F" w:rsidRPr="00A9332E">
        <w:rPr>
          <w:b/>
          <w:u w:val="single"/>
        </w:rPr>
        <w:t xml:space="preserve"> in neželeni učinki</w:t>
      </w:r>
      <w:r w:rsidRPr="00A9332E">
        <w:rPr>
          <w:u w:val="single"/>
        </w:rPr>
        <w:t>?</w:t>
      </w:r>
    </w:p>
    <w:p w14:paraId="5DECD547" w14:textId="77777777" w:rsidR="004E4245" w:rsidRPr="00F44547" w:rsidRDefault="004E4245" w:rsidP="00B706BB">
      <w:pPr>
        <w:ind w:right="31"/>
        <w:jc w:val="both"/>
      </w:pPr>
      <w:r w:rsidRPr="005274E7">
        <w:t>Naprava za dovajanje električnih pulzov se imenuje Cliniporator</w:t>
      </w:r>
      <w:r w:rsidR="00B955FD">
        <w:rPr>
          <w:vertAlign w:val="superscript"/>
        </w:rPr>
        <w:t>TM</w:t>
      </w:r>
      <w:r w:rsidRPr="005274E7">
        <w:t xml:space="preserve">. </w:t>
      </w:r>
      <w:r w:rsidR="00216B03">
        <w:t>Naprava je certificirana s strani evropskih organov za električno varnost</w:t>
      </w:r>
      <w:r w:rsidR="00B955FD">
        <w:t xml:space="preserve"> in skladna z veljavnimi </w:t>
      </w:r>
      <w:r w:rsidR="002C57AC">
        <w:t xml:space="preserve">varnostnimi standardi za električne naprave. </w:t>
      </w:r>
      <w:r w:rsidR="000D2CCA" w:rsidRPr="00F44547">
        <w:t>Neželeni učinki</w:t>
      </w:r>
      <w:r w:rsidRPr="00F44547">
        <w:t xml:space="preserve"> in mo</w:t>
      </w:r>
      <w:r w:rsidR="000D2CCA" w:rsidRPr="00F44547">
        <w:t>žni zapleti so povezani z dovajanjem visokonapetostnih pulzov</w:t>
      </w:r>
      <w:r w:rsidR="00D240CE">
        <w:t xml:space="preserve"> </w:t>
      </w:r>
      <w:r w:rsidRPr="00F44547">
        <w:t>in vključuje</w:t>
      </w:r>
      <w:r w:rsidR="000D2CCA" w:rsidRPr="00F44547">
        <w:t>jo</w:t>
      </w:r>
      <w:r w:rsidRPr="00F44547">
        <w:t>:</w:t>
      </w:r>
    </w:p>
    <w:p w14:paraId="61BEF0FD" w14:textId="77777777" w:rsidR="00DE758B" w:rsidRPr="00DE758B" w:rsidRDefault="00F44547" w:rsidP="00B706BB">
      <w:pPr>
        <w:pStyle w:val="ListParagraph"/>
        <w:numPr>
          <w:ilvl w:val="0"/>
          <w:numId w:val="2"/>
        </w:numPr>
        <w:ind w:right="31"/>
        <w:jc w:val="both"/>
        <w:rPr>
          <w:rFonts w:ascii="Calibri" w:hAnsi="Calibri" w:cs="Calibri"/>
        </w:rPr>
      </w:pPr>
      <w:r w:rsidRPr="00F44547">
        <w:rPr>
          <w:rFonts w:ascii="Calibri" w:hAnsi="Calibri" w:cs="Calibri"/>
        </w:rPr>
        <w:t xml:space="preserve">Nenadzorovano </w:t>
      </w:r>
      <w:r w:rsidR="004E4245" w:rsidRPr="00F44547">
        <w:t xml:space="preserve">krčenje mišic v trenutku </w:t>
      </w:r>
      <w:r w:rsidRPr="00F44547">
        <w:t>dovajanja električnega pulza, k</w:t>
      </w:r>
      <w:r w:rsidR="004E4245" w:rsidRPr="00F44547">
        <w:t xml:space="preserve">i </w:t>
      </w:r>
      <w:r w:rsidR="002C57AC">
        <w:t>preneha po koncu pulza</w:t>
      </w:r>
      <w:r w:rsidR="00596A34">
        <w:t>.</w:t>
      </w:r>
      <w:r w:rsidRPr="00F44547">
        <w:t xml:space="preserve"> Večinoma je</w:t>
      </w:r>
      <w:r w:rsidR="00D240CE">
        <w:t xml:space="preserve"> pojav</w:t>
      </w:r>
      <w:r w:rsidRPr="00F44547">
        <w:t xml:space="preserve"> </w:t>
      </w:r>
      <w:r w:rsidR="002C57AC">
        <w:t>neprijeten, a neboleč.</w:t>
      </w:r>
    </w:p>
    <w:p w14:paraId="752FFED6" w14:textId="77777777" w:rsidR="00AA1929" w:rsidRPr="00DE758B" w:rsidRDefault="00AA1929" w:rsidP="00B706BB">
      <w:pPr>
        <w:pStyle w:val="ListParagraph"/>
        <w:numPr>
          <w:ilvl w:val="0"/>
          <w:numId w:val="2"/>
        </w:numPr>
        <w:ind w:right="31"/>
        <w:jc w:val="both"/>
        <w:rPr>
          <w:rFonts w:ascii="Calibri" w:hAnsi="Calibri" w:cs="Calibri"/>
        </w:rPr>
      </w:pPr>
      <w:r w:rsidRPr="00AA1929">
        <w:t>Hiperpigmentacija kože</w:t>
      </w:r>
      <w:r>
        <w:t>.</w:t>
      </w:r>
    </w:p>
    <w:p w14:paraId="4D504B48" w14:textId="77777777" w:rsidR="005274E7" w:rsidRDefault="00DE758B" w:rsidP="00B706BB">
      <w:pPr>
        <w:pStyle w:val="ListParagraph"/>
        <w:numPr>
          <w:ilvl w:val="0"/>
          <w:numId w:val="2"/>
        </w:numPr>
        <w:ind w:right="31"/>
        <w:jc w:val="both"/>
        <w:rPr>
          <w:rFonts w:ascii="Calibri" w:hAnsi="Calibri" w:cs="Calibri"/>
        </w:rPr>
      </w:pPr>
      <w:r>
        <w:rPr>
          <w:rFonts w:ascii="Calibri" w:hAnsi="Calibri" w:cs="Calibri"/>
        </w:rPr>
        <w:t>Minimalno</w:t>
      </w:r>
      <w:r w:rsidRPr="00DE758B">
        <w:rPr>
          <w:rFonts w:ascii="Calibri" w:hAnsi="Calibri" w:cs="Calibri"/>
        </w:rPr>
        <w:t xml:space="preserve"> luščenje kože ali sluznic</w:t>
      </w:r>
      <w:r w:rsidR="00D240CE">
        <w:rPr>
          <w:rFonts w:ascii="Calibri" w:hAnsi="Calibri" w:cs="Calibri"/>
        </w:rPr>
        <w:t>e</w:t>
      </w:r>
      <w:r>
        <w:rPr>
          <w:rFonts w:ascii="Calibri" w:hAnsi="Calibri" w:cs="Calibri"/>
        </w:rPr>
        <w:t>.</w:t>
      </w:r>
    </w:p>
    <w:p w14:paraId="1C64E698" w14:textId="77777777" w:rsidR="00A769B5" w:rsidRDefault="004D4C3C" w:rsidP="00273F9D">
      <w:pPr>
        <w:spacing w:before="240"/>
        <w:ind w:right="31"/>
        <w:jc w:val="both"/>
      </w:pPr>
      <w:r>
        <w:t>O vseh možnih neželenih učinkih zdravila in metode zdravljenja se lahko posvetujete z vašim zdravnikom.</w:t>
      </w:r>
    </w:p>
    <w:p w14:paraId="65EF1C19" w14:textId="77777777" w:rsidR="004D4C3C" w:rsidRDefault="00A769B5" w:rsidP="00B706BB">
      <w:pPr>
        <w:ind w:right="31"/>
        <w:jc w:val="both"/>
        <w:rPr>
          <w:rFonts w:cstheme="minorHAnsi"/>
          <w:b/>
          <w:u w:val="single"/>
        </w:rPr>
      </w:pPr>
      <w:r>
        <w:rPr>
          <w:rFonts w:cstheme="minorHAnsi"/>
          <w:b/>
          <w:u w:val="single"/>
        </w:rPr>
        <w:t>Kaj če med klinično raziskavo zanosim oziroma zanosi moja partnerka?</w:t>
      </w:r>
    </w:p>
    <w:p w14:paraId="2115E4D8" w14:textId="77777777" w:rsidR="00A769B5" w:rsidRDefault="00A769B5" w:rsidP="00B706BB">
      <w:pPr>
        <w:ind w:right="31"/>
        <w:jc w:val="both"/>
        <w:rPr>
          <w:rFonts w:cstheme="minorHAnsi"/>
        </w:rPr>
      </w:pPr>
      <w:r w:rsidRPr="00A769B5">
        <w:rPr>
          <w:rFonts w:cstheme="minorHAnsi"/>
        </w:rPr>
        <w:t xml:space="preserve">Če ste ženska in </w:t>
      </w:r>
      <w:r>
        <w:rPr>
          <w:rFonts w:cstheme="minorHAnsi"/>
        </w:rPr>
        <w:t>ste noseči, načrtujete nosečnost ali dojite, v klinični raziskavi ne morete sodelovati. Če v času raziskave</w:t>
      </w:r>
      <w:r w:rsidRPr="00A769B5">
        <w:rPr>
          <w:rFonts w:cstheme="minorHAnsi"/>
        </w:rPr>
        <w:t xml:space="preserve"> zanosite ali sumite, da ste noseči, morate to takoj </w:t>
      </w:r>
      <w:r>
        <w:rPr>
          <w:rFonts w:cstheme="minorHAnsi"/>
        </w:rPr>
        <w:t xml:space="preserve">obvestiti svojega zdravnika v raziskavi, ki vas bo iz raziskave umaknil in napotil na ustrezno zdravstveno obravnavo. </w:t>
      </w:r>
    </w:p>
    <w:p w14:paraId="5FF8EC50" w14:textId="77777777" w:rsidR="00A769B5" w:rsidRDefault="00A769B5" w:rsidP="00B706BB">
      <w:pPr>
        <w:ind w:right="31"/>
        <w:jc w:val="both"/>
        <w:rPr>
          <w:rFonts w:cstheme="minorHAnsi"/>
        </w:rPr>
      </w:pPr>
      <w:r>
        <w:rPr>
          <w:rFonts w:cstheme="minorHAnsi"/>
        </w:rPr>
        <w:t xml:space="preserve">Prav tako morate zdravniku poročati o nosečnosti ali načrtovani nosečnosti vaše partnerke. </w:t>
      </w:r>
    </w:p>
    <w:p w14:paraId="6B8E9B97" w14:textId="77777777" w:rsidR="00A769B5" w:rsidRDefault="00A769B5" w:rsidP="00B706BB">
      <w:pPr>
        <w:ind w:right="31"/>
        <w:jc w:val="both"/>
        <w:rPr>
          <w:rFonts w:cstheme="minorHAnsi"/>
          <w:b/>
          <w:u w:val="single"/>
        </w:rPr>
      </w:pPr>
    </w:p>
    <w:p w14:paraId="58F3EA96" w14:textId="77777777" w:rsidR="00E0156D" w:rsidRDefault="00E0156D" w:rsidP="00B706BB">
      <w:pPr>
        <w:ind w:right="31"/>
        <w:jc w:val="both"/>
        <w:rPr>
          <w:rFonts w:cstheme="minorHAnsi"/>
          <w:b/>
          <w:u w:val="single"/>
        </w:rPr>
      </w:pPr>
      <w:r>
        <w:rPr>
          <w:rFonts w:cstheme="minorHAnsi"/>
          <w:b/>
          <w:u w:val="single"/>
        </w:rPr>
        <w:t>Ali morate sodelovati v klinični raziskavi in kaj se zgodi, če v sodelovanje ne privolite?</w:t>
      </w:r>
    </w:p>
    <w:p w14:paraId="207B6AB7" w14:textId="77777777" w:rsidR="00E0156D" w:rsidRDefault="00E0156D" w:rsidP="00B706BB">
      <w:pPr>
        <w:ind w:right="31"/>
        <w:jc w:val="both"/>
        <w:rPr>
          <w:rFonts w:cstheme="minorHAnsi"/>
        </w:rPr>
      </w:pPr>
      <w:r w:rsidRPr="00E0156D">
        <w:rPr>
          <w:rFonts w:cstheme="minorHAnsi"/>
        </w:rPr>
        <w:t xml:space="preserve">Odločitev za sodelovanje v klinični </w:t>
      </w:r>
      <w:r>
        <w:rPr>
          <w:rFonts w:cstheme="minorHAnsi"/>
        </w:rPr>
        <w:t>raziskavi</w:t>
      </w:r>
      <w:r w:rsidRPr="00E0156D">
        <w:rPr>
          <w:rFonts w:cstheme="minorHAnsi"/>
        </w:rPr>
        <w:t xml:space="preserve"> je vaša in je popolnoma prosto</w:t>
      </w:r>
      <w:r>
        <w:rPr>
          <w:rFonts w:cstheme="minorHAnsi"/>
        </w:rPr>
        <w:t>voljna. Če se odločite, da ne boste</w:t>
      </w:r>
      <w:r w:rsidRPr="00E0156D">
        <w:rPr>
          <w:rFonts w:cstheme="minorHAnsi"/>
        </w:rPr>
        <w:t xml:space="preserve"> sodelovali v klinični </w:t>
      </w:r>
      <w:r>
        <w:rPr>
          <w:rFonts w:cstheme="minorHAnsi"/>
        </w:rPr>
        <w:t>raziskavi</w:t>
      </w:r>
      <w:r w:rsidRPr="00E0156D">
        <w:rPr>
          <w:rFonts w:cstheme="minorHAnsi"/>
        </w:rPr>
        <w:t>, to</w:t>
      </w:r>
      <w:r w:rsidR="007B0D86">
        <w:rPr>
          <w:rFonts w:cstheme="minorHAnsi"/>
        </w:rPr>
        <w:t xml:space="preserve"> na nikakršen način </w:t>
      </w:r>
      <w:r w:rsidRPr="00E0156D">
        <w:rPr>
          <w:rFonts w:cstheme="minorHAnsi"/>
        </w:rPr>
        <w:t xml:space="preserve">ne bo vplivalo </w:t>
      </w:r>
      <w:r w:rsidR="007B0D86">
        <w:rPr>
          <w:rFonts w:cstheme="minorHAnsi"/>
        </w:rPr>
        <w:t xml:space="preserve">na </w:t>
      </w:r>
      <w:r w:rsidR="00297AC8">
        <w:rPr>
          <w:rFonts w:cstheme="minorHAnsi"/>
        </w:rPr>
        <w:t xml:space="preserve">standard </w:t>
      </w:r>
      <w:r w:rsidR="007B0D86">
        <w:rPr>
          <w:rFonts w:cstheme="minorHAnsi"/>
        </w:rPr>
        <w:t>vaše</w:t>
      </w:r>
      <w:r w:rsidR="00297AC8">
        <w:rPr>
          <w:rFonts w:cstheme="minorHAnsi"/>
        </w:rPr>
        <w:t>ga</w:t>
      </w:r>
      <w:r w:rsidR="007B0D86">
        <w:rPr>
          <w:rFonts w:cstheme="minorHAnsi"/>
        </w:rPr>
        <w:t xml:space="preserve"> </w:t>
      </w:r>
      <w:r w:rsidR="00297AC8">
        <w:rPr>
          <w:rFonts w:cstheme="minorHAnsi"/>
        </w:rPr>
        <w:t>zdravljenja</w:t>
      </w:r>
      <w:r w:rsidR="007B0D86">
        <w:rPr>
          <w:rFonts w:cstheme="minorHAnsi"/>
        </w:rPr>
        <w:t>.</w:t>
      </w:r>
    </w:p>
    <w:p w14:paraId="39B9A960" w14:textId="77777777" w:rsidR="00297AC8" w:rsidRPr="00297AC8" w:rsidRDefault="00297AC8" w:rsidP="00B706BB">
      <w:pPr>
        <w:ind w:right="31"/>
        <w:jc w:val="both"/>
        <w:rPr>
          <w:rFonts w:cstheme="minorHAnsi"/>
          <w:b/>
          <w:u w:val="single"/>
        </w:rPr>
      </w:pPr>
      <w:r w:rsidRPr="00297AC8">
        <w:rPr>
          <w:rFonts w:cstheme="minorHAnsi"/>
          <w:b/>
          <w:u w:val="single"/>
        </w:rPr>
        <w:t>Ali lahko prenehate sodelovati v raziskavi?</w:t>
      </w:r>
    </w:p>
    <w:p w14:paraId="22A398E0" w14:textId="77777777" w:rsidR="00297AC8" w:rsidRPr="00E0156D" w:rsidRDefault="00297AC8" w:rsidP="00B706BB">
      <w:pPr>
        <w:ind w:right="31"/>
        <w:jc w:val="both"/>
        <w:rPr>
          <w:rFonts w:cstheme="minorHAnsi"/>
        </w:rPr>
      </w:pPr>
      <w:r w:rsidRPr="00E0156D">
        <w:rPr>
          <w:rFonts w:cstheme="minorHAnsi"/>
        </w:rPr>
        <w:t>Tudi če se zdaj odločite za sodelovanje v klinični študiji, lahko svoj pristanek kadarkoli prekličete brez posledic na trenutno ali kasnejše zdravljenje.</w:t>
      </w:r>
    </w:p>
    <w:p w14:paraId="792C8A69" w14:textId="77777777" w:rsidR="004B2604" w:rsidRPr="00092DD1" w:rsidRDefault="00297AC8" w:rsidP="00B706BB">
      <w:pPr>
        <w:ind w:right="31"/>
        <w:jc w:val="both"/>
        <w:rPr>
          <w:rFonts w:cstheme="minorHAnsi"/>
        </w:rPr>
      </w:pPr>
      <w:r w:rsidRPr="00297AC8">
        <w:rPr>
          <w:rFonts w:cstheme="minorHAnsi"/>
        </w:rPr>
        <w:t xml:space="preserve">Vse podatke, pridobljene od vas, preden ste prekinili s študijo, lahko </w:t>
      </w:r>
      <w:r>
        <w:rPr>
          <w:rFonts w:cstheme="minorHAnsi"/>
        </w:rPr>
        <w:t>sponzor raziskave</w:t>
      </w:r>
      <w:r w:rsidRPr="00297AC8">
        <w:rPr>
          <w:rFonts w:cstheme="minorHAnsi"/>
        </w:rPr>
        <w:t xml:space="preserve"> še vedno uporab</w:t>
      </w:r>
      <w:r>
        <w:rPr>
          <w:rFonts w:cstheme="minorHAnsi"/>
        </w:rPr>
        <w:t>i z namenom ugotavljanja učinkovitosti preskušane terapije</w:t>
      </w:r>
      <w:r w:rsidRPr="00297AC8">
        <w:rPr>
          <w:rFonts w:cstheme="minorHAnsi"/>
        </w:rPr>
        <w:t xml:space="preserve">. Če želite prenehati s sodelovanjem v </w:t>
      </w:r>
      <w:r>
        <w:rPr>
          <w:rFonts w:cstheme="minorHAnsi"/>
        </w:rPr>
        <w:t>raziskavi</w:t>
      </w:r>
      <w:r w:rsidRPr="00297AC8">
        <w:rPr>
          <w:rFonts w:cstheme="minorHAnsi"/>
        </w:rPr>
        <w:t xml:space="preserve">, o tem obvestite svojega zdravnika v </w:t>
      </w:r>
      <w:r>
        <w:rPr>
          <w:rFonts w:cstheme="minorHAnsi"/>
        </w:rPr>
        <w:t>raziskavi</w:t>
      </w:r>
      <w:r w:rsidRPr="00297AC8">
        <w:rPr>
          <w:rFonts w:cstheme="minorHAnsi"/>
        </w:rPr>
        <w:t>.</w:t>
      </w:r>
    </w:p>
    <w:p w14:paraId="3CC6D176" w14:textId="77777777" w:rsidR="00E0156D" w:rsidRDefault="002014F9" w:rsidP="00B706BB">
      <w:pPr>
        <w:ind w:right="31"/>
        <w:jc w:val="both"/>
        <w:rPr>
          <w:rFonts w:cstheme="minorHAnsi"/>
          <w:b/>
          <w:u w:val="single"/>
        </w:rPr>
      </w:pPr>
      <w:r>
        <w:rPr>
          <w:rFonts w:cstheme="minorHAnsi"/>
          <w:b/>
          <w:u w:val="single"/>
        </w:rPr>
        <w:t>Drugi razlogi za zgodnji umik iz študije</w:t>
      </w:r>
    </w:p>
    <w:p w14:paraId="325E6453" w14:textId="77777777" w:rsidR="002014F9" w:rsidRPr="002014F9" w:rsidRDefault="002014F9" w:rsidP="00B706BB">
      <w:pPr>
        <w:ind w:right="31"/>
        <w:jc w:val="both"/>
        <w:rPr>
          <w:rFonts w:cstheme="minorHAnsi"/>
        </w:rPr>
      </w:pPr>
      <w:r w:rsidRPr="002014F9">
        <w:rPr>
          <w:rFonts w:cstheme="minorHAnsi"/>
        </w:rPr>
        <w:t>Sponzor lahko prekine študijo kadarkoli zaradi kakršnegakoli razloga in zdravnik raziskovalec lahko izključi posameznega bolnika, če je to za bolnika najboljše zaradi varnostnih razlogov, ali če bolnik ne ravna v skladu z zahtevami študije.</w:t>
      </w:r>
    </w:p>
    <w:p w14:paraId="6A3B906D" w14:textId="77777777" w:rsidR="002014F9" w:rsidRDefault="002014F9" w:rsidP="00B706BB">
      <w:pPr>
        <w:ind w:right="31"/>
        <w:jc w:val="both"/>
        <w:rPr>
          <w:rFonts w:cstheme="minorHAnsi"/>
        </w:rPr>
      </w:pPr>
      <w:r w:rsidRPr="002014F9">
        <w:rPr>
          <w:rFonts w:cstheme="minorHAnsi"/>
        </w:rPr>
        <w:t xml:space="preserve">Sponzor in zdravnik raziskovalec sta prav tako zavezana, da vas obvestita o kakršnikoli novi informaciji, ki bi lahko vplivala na </w:t>
      </w:r>
      <w:r>
        <w:rPr>
          <w:rFonts w:cstheme="minorHAnsi"/>
        </w:rPr>
        <w:t xml:space="preserve">vaše </w:t>
      </w:r>
      <w:r w:rsidRPr="002014F9">
        <w:rPr>
          <w:rFonts w:cstheme="minorHAnsi"/>
        </w:rPr>
        <w:t>zdravje, dobrobit, ali vašo odločitev o nadaljevanju študije.</w:t>
      </w:r>
    </w:p>
    <w:p w14:paraId="0A20A25B" w14:textId="77777777" w:rsidR="000339A0" w:rsidRPr="000339A0" w:rsidRDefault="000339A0" w:rsidP="00B706BB">
      <w:pPr>
        <w:ind w:right="31"/>
        <w:jc w:val="both"/>
        <w:rPr>
          <w:rFonts w:cstheme="minorHAnsi"/>
          <w:b/>
          <w:u w:val="single"/>
        </w:rPr>
      </w:pPr>
      <w:r w:rsidRPr="000339A0">
        <w:rPr>
          <w:rFonts w:cstheme="minorHAnsi"/>
          <w:b/>
          <w:u w:val="single"/>
        </w:rPr>
        <w:t>Kakšni so stroški/povračila za sodelovanje v raziskavi?</w:t>
      </w:r>
    </w:p>
    <w:p w14:paraId="21014118" w14:textId="77777777" w:rsidR="002014F9" w:rsidRPr="002014F9" w:rsidRDefault="000339A0" w:rsidP="00B706BB">
      <w:pPr>
        <w:ind w:right="31"/>
        <w:jc w:val="both"/>
        <w:rPr>
          <w:rFonts w:cstheme="minorHAnsi"/>
        </w:rPr>
      </w:pPr>
      <w:r w:rsidRPr="000339A0">
        <w:rPr>
          <w:rFonts w:cstheme="minorHAnsi"/>
        </w:rPr>
        <w:t xml:space="preserve">S sodelovanjem v tej </w:t>
      </w:r>
      <w:r>
        <w:rPr>
          <w:rFonts w:cstheme="minorHAnsi"/>
        </w:rPr>
        <w:t>raziskavi</w:t>
      </w:r>
      <w:r w:rsidRPr="000339A0">
        <w:rPr>
          <w:rFonts w:cstheme="minorHAnsi"/>
        </w:rPr>
        <w:t xml:space="preserve"> ne boste imeli nobenih dodatnih stroškov.</w:t>
      </w:r>
      <w:r>
        <w:rPr>
          <w:rFonts w:cstheme="minorHAnsi"/>
        </w:rPr>
        <w:t xml:space="preserve"> </w:t>
      </w:r>
      <w:r w:rsidRPr="000339A0">
        <w:rPr>
          <w:rFonts w:cstheme="minorHAnsi"/>
        </w:rPr>
        <w:t xml:space="preserve">Za sodelovanje v tej </w:t>
      </w:r>
      <w:r>
        <w:rPr>
          <w:rFonts w:cstheme="minorHAnsi"/>
        </w:rPr>
        <w:t>raziskavi</w:t>
      </w:r>
      <w:r w:rsidRPr="000339A0">
        <w:rPr>
          <w:rFonts w:cstheme="minorHAnsi"/>
        </w:rPr>
        <w:t xml:space="preserve"> ne boste prejeli plačila.</w:t>
      </w:r>
      <w:r w:rsidR="00F41703">
        <w:rPr>
          <w:rFonts w:cstheme="minorHAnsi"/>
        </w:rPr>
        <w:t xml:space="preserve"> Klinična študija je</w:t>
      </w:r>
      <w:r w:rsidR="00F41703" w:rsidRPr="00F41703">
        <w:rPr>
          <w:rFonts w:cstheme="minorHAnsi"/>
        </w:rPr>
        <w:t xml:space="preserve"> zavarovana pri pristojnih zavarovalnicah s strani sodelujočih kliničnih ustanov.  </w:t>
      </w:r>
    </w:p>
    <w:p w14:paraId="482B0CDC" w14:textId="77777777" w:rsidR="008C36C0" w:rsidRPr="008C36C0" w:rsidRDefault="008C36C0" w:rsidP="00B706BB">
      <w:pPr>
        <w:ind w:right="31"/>
        <w:jc w:val="both"/>
        <w:rPr>
          <w:rFonts w:cs="Calibri"/>
        </w:rPr>
      </w:pPr>
      <w:r w:rsidRPr="008C36C0">
        <w:rPr>
          <w:rFonts w:cstheme="minorHAnsi"/>
          <w:b/>
          <w:u w:val="single"/>
        </w:rPr>
        <w:t xml:space="preserve">Na koga se obrniti, če imate vprašanja v zvezi s poškodbo ali reakcijo, povezano s študijo: </w:t>
      </w:r>
    </w:p>
    <w:p w14:paraId="36993747" w14:textId="77777777" w:rsidR="008C36C0" w:rsidRDefault="008C36C0" w:rsidP="00B706BB">
      <w:pPr>
        <w:pStyle w:val="BodyTextIndent"/>
        <w:spacing w:before="60" w:after="60"/>
        <w:ind w:left="0"/>
        <w:jc w:val="both"/>
      </w:pPr>
      <w:r w:rsidRPr="007D0AFC">
        <w:rPr>
          <w:rFonts w:cstheme="minorHAnsi"/>
        </w:rPr>
        <w:t>Pravico imate zastaviti vprašanja v zvezi s študijo in pravico imate nanje pridobiti</w:t>
      </w:r>
      <w:r>
        <w:rPr>
          <w:rFonts w:cstheme="minorHAnsi"/>
        </w:rPr>
        <w:t xml:space="preserve"> </w:t>
      </w:r>
      <w:r w:rsidRPr="007D0AFC">
        <w:rPr>
          <w:rFonts w:cstheme="minorHAnsi"/>
        </w:rPr>
        <w:t>odgovore.</w:t>
      </w:r>
      <w:r w:rsidR="008D65BC">
        <w:rPr>
          <w:rFonts w:cstheme="minorHAnsi"/>
        </w:rPr>
        <w:t xml:space="preserve"> </w:t>
      </w:r>
      <w:r w:rsidRPr="007D0AFC">
        <w:rPr>
          <w:rFonts w:cstheme="minorHAnsi"/>
        </w:rPr>
        <w:t xml:space="preserve">Če imate kakršnakoli vprašanja o sodelovanju v </w:t>
      </w:r>
      <w:r w:rsidR="004B2604">
        <w:rPr>
          <w:rFonts w:cstheme="minorHAnsi"/>
        </w:rPr>
        <w:t>raziskavi</w:t>
      </w:r>
      <w:r w:rsidRPr="007D0AFC">
        <w:rPr>
          <w:rFonts w:cstheme="minorHAnsi"/>
        </w:rPr>
        <w:t xml:space="preserve"> ali menite, da imate reakcijo na preiskovano </w:t>
      </w:r>
      <w:r w:rsidR="004B2604">
        <w:rPr>
          <w:rFonts w:cstheme="minorHAnsi"/>
        </w:rPr>
        <w:t>terapijo ali kateri drugi postopek iz raziskave</w:t>
      </w:r>
      <w:r w:rsidRPr="007D0AFC">
        <w:rPr>
          <w:rFonts w:cstheme="minorHAnsi"/>
        </w:rPr>
        <w:t>, se obrni</w:t>
      </w:r>
      <w:r w:rsidR="004B2604">
        <w:rPr>
          <w:rFonts w:cstheme="minorHAnsi"/>
        </w:rPr>
        <w:t>te na glavnega raziskovalca</w:t>
      </w:r>
      <w:r>
        <w:rPr>
          <w:rFonts w:cstheme="minorHAnsi"/>
        </w:rPr>
        <w:t xml:space="preserve"> </w:t>
      </w:r>
      <w:r w:rsidR="001B38C2">
        <w:rPr>
          <w:rFonts w:cstheme="minorHAnsi"/>
        </w:rPr>
        <w:t>doc</w:t>
      </w:r>
      <w:r>
        <w:t>.</w:t>
      </w:r>
      <w:r w:rsidR="00982F3F">
        <w:t xml:space="preserve"> dr.</w:t>
      </w:r>
      <w:r>
        <w:t xml:space="preserve"> Aleša Grošlja, dr. med., na telefonsko številko 01</w:t>
      </w:r>
      <w:r w:rsidR="008D65BC">
        <w:t>/</w:t>
      </w:r>
      <w:r>
        <w:t xml:space="preserve"> 5224</w:t>
      </w:r>
      <w:r w:rsidR="008D65BC">
        <w:t xml:space="preserve"> </w:t>
      </w:r>
      <w:r>
        <w:t xml:space="preserve">183 </w:t>
      </w:r>
      <w:r w:rsidRPr="009D2942">
        <w:t>ali na elektronski poštni naslov ales.groselj@kclj.si</w:t>
      </w:r>
      <w:r w:rsidRPr="00CC7FA3">
        <w:t>.</w:t>
      </w:r>
    </w:p>
    <w:p w14:paraId="2EEA7317" w14:textId="77777777" w:rsidR="007C340C" w:rsidRPr="007D0AFC" w:rsidRDefault="007C340C" w:rsidP="00B706BB">
      <w:pPr>
        <w:pStyle w:val="BodyTextIndent"/>
        <w:spacing w:before="60" w:after="60"/>
        <w:ind w:left="0"/>
        <w:jc w:val="both"/>
        <w:rPr>
          <w:rFonts w:cstheme="minorHAnsi"/>
        </w:rPr>
      </w:pPr>
    </w:p>
    <w:p w14:paraId="734DFA17" w14:textId="77777777" w:rsidR="008C36C0" w:rsidRPr="00423DFC" w:rsidRDefault="008C36C0" w:rsidP="00B706BB">
      <w:pPr>
        <w:keepNext/>
        <w:widowControl w:val="0"/>
        <w:spacing w:before="60" w:after="60"/>
        <w:jc w:val="both"/>
        <w:outlineLvl w:val="0"/>
        <w:rPr>
          <w:rFonts w:cstheme="minorHAnsi"/>
        </w:rPr>
      </w:pPr>
      <w:r w:rsidRPr="00423DFC">
        <w:rPr>
          <w:rFonts w:cstheme="minorHAnsi"/>
          <w:b/>
          <w:u w:val="single"/>
        </w:rPr>
        <w:t xml:space="preserve">Na koga se obrniti, če želite poročati o kršenju pravil o zaupnih informacijah: </w:t>
      </w:r>
    </w:p>
    <w:p w14:paraId="1180422A" w14:textId="77777777" w:rsidR="008C36C0" w:rsidRDefault="008C36C0" w:rsidP="00B706BB">
      <w:pPr>
        <w:pStyle w:val="BodyTextIndent"/>
        <w:spacing w:before="60" w:after="60"/>
        <w:ind w:left="0"/>
        <w:jc w:val="both"/>
      </w:pPr>
      <w:r w:rsidRPr="00423DFC">
        <w:rPr>
          <w:rFonts w:cstheme="minorHAnsi"/>
        </w:rPr>
        <w:t xml:space="preserve">Če menite, da je prišlo do kršitve vaših zaupnih podatkov, se obrnite na glavnega raziskovalca v študiji: </w:t>
      </w:r>
      <w:r w:rsidR="001B38C2">
        <w:rPr>
          <w:rFonts w:cstheme="minorHAnsi"/>
        </w:rPr>
        <w:t>doc</w:t>
      </w:r>
      <w:r w:rsidR="00982F3F">
        <w:rPr>
          <w:rFonts w:cstheme="minorHAnsi"/>
        </w:rPr>
        <w:t xml:space="preserve">. </w:t>
      </w:r>
      <w:r w:rsidR="008D65BC" w:rsidRPr="00423DFC">
        <w:t>dr</w:t>
      </w:r>
      <w:r w:rsidRPr="00423DFC">
        <w:t>. Aleša Grošlja, dr. med., na telefonsko številko 01</w:t>
      </w:r>
      <w:r w:rsidR="008D65BC" w:rsidRPr="00423DFC">
        <w:t>/</w:t>
      </w:r>
      <w:r w:rsidRPr="00423DFC">
        <w:t xml:space="preserve"> 5224</w:t>
      </w:r>
      <w:r w:rsidR="008D65BC" w:rsidRPr="00423DFC">
        <w:t xml:space="preserve"> </w:t>
      </w:r>
      <w:r w:rsidRPr="00423DFC">
        <w:t xml:space="preserve">183 ali na elektronski poštni naslov </w:t>
      </w:r>
      <w:hyperlink r:id="rId11" w:history="1">
        <w:r w:rsidR="007C340C" w:rsidRPr="00D255D4">
          <w:rPr>
            <w:rStyle w:val="Hyperlink"/>
          </w:rPr>
          <w:t>ales.groselj@kclj.si</w:t>
        </w:r>
      </w:hyperlink>
      <w:r w:rsidRPr="00423DFC">
        <w:t>.</w:t>
      </w:r>
    </w:p>
    <w:p w14:paraId="0076F7D7" w14:textId="77777777" w:rsidR="007C340C" w:rsidRDefault="007C340C" w:rsidP="00B706BB">
      <w:pPr>
        <w:pStyle w:val="BodyTextIndent"/>
        <w:spacing w:before="60" w:after="60"/>
        <w:ind w:left="0"/>
        <w:jc w:val="both"/>
      </w:pPr>
    </w:p>
    <w:p w14:paraId="6F0E9785" w14:textId="77777777" w:rsidR="008D65BC" w:rsidRDefault="008C36C0" w:rsidP="00B706BB">
      <w:pPr>
        <w:pStyle w:val="BodyTextIndent"/>
        <w:spacing w:before="60" w:after="60"/>
        <w:ind w:left="0"/>
        <w:jc w:val="both"/>
        <w:rPr>
          <w:rFonts w:cstheme="minorHAnsi"/>
        </w:rPr>
      </w:pPr>
      <w:r w:rsidRPr="006A6775">
        <w:rPr>
          <w:rFonts w:cstheme="minorHAnsi"/>
          <w:b/>
          <w:u w:val="single"/>
        </w:rPr>
        <w:t>Na</w:t>
      </w:r>
      <w:r w:rsidRPr="007D0AFC">
        <w:rPr>
          <w:rFonts w:cstheme="minorHAnsi"/>
          <w:b/>
          <w:u w:val="single"/>
        </w:rPr>
        <w:t xml:space="preserve"> koga se obrniti, če imate vprašanja v zvezi s svojimi pravicami kot bolnik: </w:t>
      </w:r>
    </w:p>
    <w:p w14:paraId="1DD7ADCD" w14:textId="77777777" w:rsidR="008C36C0" w:rsidRPr="008D65BC" w:rsidRDefault="002C0B7D" w:rsidP="00B706BB">
      <w:pPr>
        <w:pStyle w:val="BodyTextIndent"/>
        <w:spacing w:before="60" w:after="60"/>
        <w:ind w:left="0"/>
        <w:jc w:val="both"/>
        <w:rPr>
          <w:rFonts w:cstheme="minorHAnsi"/>
        </w:rPr>
      </w:pPr>
      <w:r>
        <w:rPr>
          <w:rFonts w:cstheme="minorHAnsi"/>
        </w:rPr>
        <w:t>Načrt klinične raziskave</w:t>
      </w:r>
      <w:r w:rsidR="008C36C0" w:rsidRPr="007D0AFC">
        <w:rPr>
          <w:rFonts w:cstheme="minorHAnsi"/>
        </w:rPr>
        <w:t xml:space="preserve"> je pregledala in odobrila Komisija za</w:t>
      </w:r>
      <w:r w:rsidR="008D65BC">
        <w:rPr>
          <w:rFonts w:cstheme="minorHAnsi"/>
        </w:rPr>
        <w:t xml:space="preserve"> medicinsko etiko Republike Slovenije. </w:t>
      </w:r>
      <w:r w:rsidR="008C36C0" w:rsidRPr="007D0AFC">
        <w:rPr>
          <w:rFonts w:cstheme="minorHAnsi"/>
        </w:rPr>
        <w:t>Če imate vprašanja v zvezi s svojimi pravicami kot bolnik, se lahko obrnete (tudi anonimno)</w:t>
      </w:r>
      <w:r w:rsidR="008C36C0">
        <w:rPr>
          <w:rFonts w:cstheme="minorHAnsi"/>
        </w:rPr>
        <w:t xml:space="preserve"> </w:t>
      </w:r>
      <w:r w:rsidR="008C36C0" w:rsidRPr="003727B8">
        <w:t>na</w:t>
      </w:r>
      <w:r>
        <w:t xml:space="preserve"> zastopnika pacientovih pravic. S</w:t>
      </w:r>
      <w:r w:rsidR="008C36C0">
        <w:t>lužba je organizirana v okvirju Ministrstva za zdravje Republike Slovenije</w:t>
      </w:r>
      <w:r>
        <w:t>, v</w:t>
      </w:r>
      <w:r w:rsidR="008C36C0" w:rsidRPr="003727B8">
        <w:t xml:space="preserve"> </w:t>
      </w:r>
      <w:r w:rsidR="008C36C0">
        <w:t>prostori</w:t>
      </w:r>
      <w:r>
        <w:t>h</w:t>
      </w:r>
      <w:r w:rsidR="008C36C0">
        <w:t xml:space="preserve"> Zavoda za</w:t>
      </w:r>
      <w:r>
        <w:t xml:space="preserve"> zdravstveno varstvo Ljubljana, Zaloška 29, 1000 Ljubljana.</w:t>
      </w:r>
      <w:r w:rsidR="008C36C0">
        <w:t xml:space="preserve"> </w:t>
      </w:r>
      <w:r>
        <w:t xml:space="preserve">Kontaktna oseba je ga. Duša Hlade Zore, </w:t>
      </w:r>
      <w:r w:rsidR="008C36C0">
        <w:t>telefonska številka: 01</w:t>
      </w:r>
      <w:r w:rsidR="008D65BC">
        <w:t>/</w:t>
      </w:r>
      <w:r w:rsidR="008C36C0">
        <w:t xml:space="preserve"> 5423</w:t>
      </w:r>
      <w:r w:rsidR="008D65BC">
        <w:t xml:space="preserve"> </w:t>
      </w:r>
      <w:r w:rsidR="008C36C0">
        <w:t>285, elektronski poštni naslov: dusa.zore@zzv-lj.</w:t>
      </w:r>
    </w:p>
    <w:p w14:paraId="76334073" w14:textId="77777777" w:rsidR="00EB23D6" w:rsidRDefault="00EB23D6" w:rsidP="00D81F08">
      <w:pPr>
        <w:spacing w:after="0"/>
        <w:jc w:val="both"/>
        <w:rPr>
          <w:rFonts w:cs="Calibri"/>
        </w:rPr>
      </w:pPr>
    </w:p>
    <w:p w14:paraId="273C77B6" w14:textId="77777777" w:rsidR="0011212C" w:rsidRDefault="006B649C" w:rsidP="00B706BB">
      <w:pPr>
        <w:jc w:val="both"/>
      </w:pPr>
      <w:r>
        <w:rPr>
          <w:sz w:val="23"/>
          <w:szCs w:val="23"/>
        </w:rPr>
        <w:t xml:space="preserve">Komisija Republike Slovenije za medicinsko etiko (KME), ki je odbor, čigar naloga je zagotoviti, da so udeleženci študije zaščiteni pred škodo. Če bi radi o KME izvedeli več, se obrnite na Komisijo RS za medicinsko etiko, Ministrstvo za zdravje, Štefanova 5, 1000 Ljubljana. Telefon: (01) 478 69 13. </w:t>
      </w:r>
      <w:hyperlink r:id="rId12" w:history="1">
        <w:r w:rsidR="0011212C" w:rsidRPr="00643F6E">
          <w:rPr>
            <w:rStyle w:val="Hyperlink"/>
          </w:rPr>
          <w:t>www.kme-nmec.si</w:t>
        </w:r>
      </w:hyperlink>
    </w:p>
    <w:p w14:paraId="55C94560" w14:textId="77777777" w:rsidR="00E0156D" w:rsidRDefault="00E0156D" w:rsidP="00B706BB">
      <w:pPr>
        <w:jc w:val="both"/>
        <w:rPr>
          <w:rFonts w:cs="Calibri"/>
          <w:b/>
          <w:u w:val="single"/>
        </w:rPr>
      </w:pPr>
      <w:r>
        <w:rPr>
          <w:rFonts w:cs="Calibri"/>
          <w:b/>
          <w:u w:val="single"/>
        </w:rPr>
        <w:br w:type="page"/>
      </w:r>
    </w:p>
    <w:p w14:paraId="25775FEC" w14:textId="77777777" w:rsidR="00327494" w:rsidRDefault="00327494" w:rsidP="00B706BB">
      <w:pPr>
        <w:jc w:val="center"/>
        <w:rPr>
          <w:bCs/>
          <w:sz w:val="28"/>
          <w:szCs w:val="23"/>
          <w:u w:val="single"/>
        </w:rPr>
      </w:pPr>
      <w:r w:rsidRPr="00327494">
        <w:rPr>
          <w:bCs/>
          <w:sz w:val="28"/>
          <w:szCs w:val="23"/>
          <w:u w:val="single"/>
        </w:rPr>
        <w:t>OBRAZEC ZA PROSTOVOLJNO PRIVOLITEV PO POUČITVI</w:t>
      </w:r>
    </w:p>
    <w:p w14:paraId="6FA7B7B9" w14:textId="77777777" w:rsidR="006B391E" w:rsidRPr="00327494" w:rsidRDefault="006B391E" w:rsidP="00B706BB">
      <w:pPr>
        <w:jc w:val="both"/>
        <w:rPr>
          <w:bCs/>
          <w:sz w:val="28"/>
          <w:szCs w:val="23"/>
          <w:u w:val="single"/>
        </w:rPr>
      </w:pPr>
    </w:p>
    <w:p w14:paraId="10402FFE" w14:textId="77777777" w:rsidR="00EB23D6" w:rsidRPr="00485E8A" w:rsidRDefault="00485E8A" w:rsidP="00B706BB">
      <w:pPr>
        <w:jc w:val="both"/>
        <w:rPr>
          <w:b/>
          <w:u w:val="single"/>
        </w:rPr>
      </w:pPr>
      <w:r w:rsidRPr="00EB23D6">
        <w:rPr>
          <w:b/>
        </w:rPr>
        <w:t xml:space="preserve">Sodelovanje v tej </w:t>
      </w:r>
      <w:r>
        <w:rPr>
          <w:b/>
        </w:rPr>
        <w:t>raziskavi</w:t>
      </w:r>
      <w:r w:rsidRPr="00EB23D6">
        <w:rPr>
          <w:b/>
        </w:rPr>
        <w:t xml:space="preserve"> je prostovoljno. Od sodelovanja lahko odstopite kadar koli, zaradi kakršnega koli razloga.</w:t>
      </w:r>
    </w:p>
    <w:p w14:paraId="097DD973" w14:textId="77777777" w:rsidR="00A010B0" w:rsidRDefault="00092BC5" w:rsidP="00B706BB">
      <w:pPr>
        <w:jc w:val="both"/>
      </w:pPr>
      <w:r>
        <w:t>Raziskava in postopki zdravljenja, povezani z</w:t>
      </w:r>
      <w:r w:rsidR="003F32DA">
        <w:t xml:space="preserve"> raziskavo</w:t>
      </w:r>
      <w:r w:rsidR="00485E8A">
        <w:t>, so</w:t>
      </w:r>
      <w:r>
        <w:t xml:space="preserve"> mi bili v celoti razloženi. Vsi postopki so mi bili predstavljeni, prav tako razumem</w:t>
      </w:r>
      <w:r w:rsidR="00AB1751">
        <w:t>,</w:t>
      </w:r>
      <w:r>
        <w:t xml:space="preserve"> da ni nobenega zagotovila o možnih rezultatih zdravljenja. Zastavil(a) sem vsa vprašanja, ki sem jih imel(a). </w:t>
      </w:r>
    </w:p>
    <w:p w14:paraId="3C0BD0C4" w14:textId="77777777" w:rsidR="00092BC5" w:rsidRDefault="00092BC5" w:rsidP="00B706BB">
      <w:pPr>
        <w:jc w:val="both"/>
      </w:pPr>
      <w:r>
        <w:t>Zavedam se, da je sodelovanje v tej raziskavi prostovoljno in da lahko kadar koli umaknem svojo privolitev.</w:t>
      </w:r>
    </w:p>
    <w:p w14:paraId="2C54CDB0" w14:textId="77777777" w:rsidR="00EE4555" w:rsidRDefault="00A010B0" w:rsidP="00B706BB">
      <w:pPr>
        <w:jc w:val="both"/>
      </w:pPr>
      <w:r w:rsidRPr="00EF1D30">
        <w:t>Zavedam se,</w:t>
      </w:r>
      <w:r w:rsidR="00EF1D30" w:rsidRPr="00EF1D30">
        <w:t xml:space="preserve"> da moja odločite</w:t>
      </w:r>
      <w:r w:rsidRPr="00EF1D30">
        <w:t>v</w:t>
      </w:r>
      <w:r w:rsidR="00AB1751">
        <w:t>,</w:t>
      </w:r>
      <w:r w:rsidRPr="00EF1D30">
        <w:t xml:space="preserve"> da</w:t>
      </w:r>
      <w:r w:rsidR="00EF1D30" w:rsidRPr="00EF1D30">
        <w:t xml:space="preserve"> ne sodelujem v raziskavi ali da</w:t>
      </w:r>
      <w:r w:rsidRPr="00EF1D30">
        <w:t xml:space="preserve"> </w:t>
      </w:r>
      <w:r w:rsidR="00EF1D30" w:rsidRPr="00EF1D30">
        <w:t xml:space="preserve">svojo privolitev </w:t>
      </w:r>
      <w:r w:rsidRPr="00EF1D30">
        <w:t xml:space="preserve">umaknem, </w:t>
      </w:r>
      <w:r w:rsidR="00EF1D30" w:rsidRPr="00EF1D30">
        <w:t>ne bo vplivala na dostop do zdravstvenih storitev, ki so mi običajno na voljo.</w:t>
      </w:r>
    </w:p>
    <w:p w14:paraId="4C63B4A6" w14:textId="77777777" w:rsidR="0058018D" w:rsidRPr="0058018D" w:rsidRDefault="00092BC5" w:rsidP="00B706BB">
      <w:pPr>
        <w:jc w:val="both"/>
      </w:pPr>
      <w:r w:rsidRPr="00EE4555">
        <w:t>Strinjam se z anonimn</w:t>
      </w:r>
      <w:r w:rsidR="00EE4555" w:rsidRPr="00EE4555">
        <w:t xml:space="preserve">im </w:t>
      </w:r>
      <w:r w:rsidRPr="00EE4555">
        <w:t>zbiranje</w:t>
      </w:r>
      <w:r w:rsidR="00EE4555" w:rsidRPr="00EE4555">
        <w:t xml:space="preserve">m podatkov o mojem </w:t>
      </w:r>
      <w:r w:rsidR="00EE4555">
        <w:t>zdravljenju</w:t>
      </w:r>
      <w:r w:rsidR="00EE4555" w:rsidRPr="00EE4555">
        <w:t xml:space="preserve"> z</w:t>
      </w:r>
      <w:r w:rsidR="00485E8A">
        <w:t xml:space="preserve"> g</w:t>
      </w:r>
      <w:r w:rsidR="00485E8A" w:rsidRPr="00485E8A">
        <w:t>enski</w:t>
      </w:r>
      <w:r w:rsidR="00485E8A">
        <w:t>m</w:t>
      </w:r>
      <w:r w:rsidR="00485E8A" w:rsidRPr="00485E8A">
        <w:t xml:space="preserve"> elektroprenos</w:t>
      </w:r>
      <w:r w:rsidR="00485E8A">
        <w:t>om</w:t>
      </w:r>
      <w:r w:rsidR="00485E8A" w:rsidRPr="00485E8A">
        <w:t xml:space="preserve"> </w:t>
      </w:r>
      <w:r w:rsidR="001E311D">
        <w:t>ph</w:t>
      </w:r>
      <w:r w:rsidR="005A098B">
        <w:t>IL</w:t>
      </w:r>
      <w:r w:rsidR="00485E8A" w:rsidRPr="00485E8A">
        <w:t>12</w:t>
      </w:r>
      <w:r w:rsidR="001E311D">
        <w:t>.</w:t>
      </w:r>
      <w:r w:rsidR="0058018D" w:rsidRPr="006A6775">
        <w:rPr>
          <w:color w:val="FF0000"/>
        </w:rPr>
        <w:t xml:space="preserve"> </w:t>
      </w:r>
      <w:r w:rsidRPr="0058018D">
        <w:t>Strinjam se</w:t>
      </w:r>
      <w:r w:rsidR="00303074" w:rsidRPr="0058018D">
        <w:t xml:space="preserve"> </w:t>
      </w:r>
      <w:r w:rsidR="00485E8A">
        <w:t>s fotografiranjem,</w:t>
      </w:r>
      <w:r w:rsidR="0058018D" w:rsidRPr="0058018D">
        <w:t xml:space="preserve"> shranjevanjem in urejanjem dokumentacije za </w:t>
      </w:r>
      <w:r w:rsidR="00B44D2C">
        <w:t>sledenje učinkovitosti zdravljenja</w:t>
      </w:r>
      <w:r w:rsidR="0058018D" w:rsidRPr="0058018D">
        <w:t>.</w:t>
      </w:r>
      <w:r w:rsidR="0058018D">
        <w:t xml:space="preserve"> </w:t>
      </w:r>
      <w:r w:rsidR="00810380">
        <w:t xml:space="preserve">Strinjam se </w:t>
      </w:r>
      <w:r w:rsidR="00AB1751">
        <w:t>z</w:t>
      </w:r>
      <w:r w:rsidR="00810380">
        <w:t xml:space="preserve"> od</w:t>
      </w:r>
      <w:r w:rsidR="00444A7F">
        <w:t>v</w:t>
      </w:r>
      <w:r w:rsidR="00810380">
        <w:t>zemom krvi</w:t>
      </w:r>
      <w:r w:rsidR="00AB1751">
        <w:t xml:space="preserve">, sline in </w:t>
      </w:r>
      <w:r w:rsidR="00810380">
        <w:t>bris</w:t>
      </w:r>
      <w:r w:rsidR="00AB1751">
        <w:t>a</w:t>
      </w:r>
      <w:r w:rsidR="00810380">
        <w:t xml:space="preserve"> </w:t>
      </w:r>
      <w:r w:rsidR="00AB1751">
        <w:t xml:space="preserve">z </w:t>
      </w:r>
      <w:r w:rsidR="00810380">
        <w:t xml:space="preserve">mesta aplikacije </w:t>
      </w:r>
      <w:r w:rsidR="00AB1751">
        <w:t>zdravila</w:t>
      </w:r>
      <w:r w:rsidR="00810380">
        <w:t xml:space="preserve"> ter </w:t>
      </w:r>
      <w:r w:rsidR="00AB1751">
        <w:t>z nadaljnjo obdela</w:t>
      </w:r>
      <w:r w:rsidR="00810380">
        <w:t xml:space="preserve">vo vzorcev. </w:t>
      </w:r>
      <w:r w:rsidR="0058018D">
        <w:t xml:space="preserve">Vsi moji osebni podatki bodo ves čas raziskave ostali zaupni. </w:t>
      </w:r>
    </w:p>
    <w:p w14:paraId="28162ABC" w14:textId="6E61083E" w:rsidR="00485E8A" w:rsidRDefault="0058018D" w:rsidP="00B706BB">
      <w:pPr>
        <w:spacing w:after="0"/>
        <w:jc w:val="both"/>
        <w:rPr>
          <w:color w:val="0000FF"/>
          <w:u w:val="single"/>
        </w:rPr>
      </w:pPr>
      <w:r w:rsidRPr="008835A8">
        <w:t>Strinjam se</w:t>
      </w:r>
      <w:r w:rsidR="00E13E84" w:rsidRPr="008835A8">
        <w:t>, da sodelujem</w:t>
      </w:r>
      <w:r w:rsidR="00275FDC" w:rsidRPr="008835A8">
        <w:t xml:space="preserve"> v zgoraj opisanem projektu, ki </w:t>
      </w:r>
      <w:r w:rsidR="009F21D7">
        <w:t xml:space="preserve">se </w:t>
      </w:r>
      <w:r w:rsidR="00275FDC" w:rsidRPr="008835A8">
        <w:t>izvaja</w:t>
      </w:r>
      <w:r w:rsidR="00416EE2">
        <w:t xml:space="preserve"> na</w:t>
      </w:r>
      <w:r w:rsidR="004363C8">
        <w:t xml:space="preserve"> </w:t>
      </w:r>
      <w:r w:rsidR="00485E8A">
        <w:t>Kliniki za otorinolaringologijo in maksilofacialno kirurgijo</w:t>
      </w:r>
      <w:r w:rsidR="005A098B">
        <w:t xml:space="preserve"> UKC Ljubljana</w:t>
      </w:r>
      <w:r w:rsidR="00485E8A">
        <w:t xml:space="preserve">. </w:t>
      </w:r>
    </w:p>
    <w:p w14:paraId="75722D62" w14:textId="77777777" w:rsidR="00D20C6C" w:rsidRPr="00D20C6C" w:rsidRDefault="00D20C6C" w:rsidP="00B706BB">
      <w:pPr>
        <w:spacing w:after="0"/>
        <w:jc w:val="both"/>
        <w:rPr>
          <w:color w:val="0000FF"/>
          <w:u w:val="single"/>
        </w:rPr>
      </w:pPr>
    </w:p>
    <w:p w14:paraId="3844068F" w14:textId="77777777" w:rsidR="00092BC5" w:rsidRPr="00740394" w:rsidRDefault="00275FDC" w:rsidP="00B706BB">
      <w:pPr>
        <w:jc w:val="both"/>
      </w:pPr>
      <w:r w:rsidRPr="008835A8">
        <w:t>P</w:t>
      </w:r>
      <w:r w:rsidR="00092BC5" w:rsidRPr="008835A8">
        <w:t>rejel</w:t>
      </w:r>
      <w:r w:rsidRPr="008835A8">
        <w:t>(a) sem</w:t>
      </w:r>
      <w:r w:rsidR="00092BC5" w:rsidRPr="008835A8">
        <w:t xml:space="preserve"> kopijo tega soglasja</w:t>
      </w:r>
      <w:r w:rsidRPr="008835A8">
        <w:t>.</w:t>
      </w:r>
      <w:r w:rsidR="008835A8" w:rsidRPr="008835A8">
        <w:t xml:space="preserve"> Razumem, da se </w:t>
      </w:r>
      <w:r w:rsidR="00AB1751">
        <w:t xml:space="preserve">lahko </w:t>
      </w:r>
      <w:r w:rsidR="008835A8" w:rsidRPr="008835A8">
        <w:t>v primeru kakršnih koli vprašanj</w:t>
      </w:r>
      <w:r w:rsidR="00AB1751">
        <w:t>, povezanih s to raziskavo</w:t>
      </w:r>
      <w:r w:rsidR="008835A8" w:rsidRPr="008835A8">
        <w:t xml:space="preserve"> obrnem na</w:t>
      </w:r>
      <w:r w:rsidR="00D20C6C">
        <w:t xml:space="preserve"> vodjo raziskave </w:t>
      </w:r>
      <w:r w:rsidR="00886E30">
        <w:t>doc</w:t>
      </w:r>
      <w:r w:rsidR="00D20C6C">
        <w:t>.</w:t>
      </w:r>
      <w:r w:rsidR="00886E30">
        <w:t xml:space="preserve"> dr.</w:t>
      </w:r>
      <w:r w:rsidR="00D20C6C">
        <w:t xml:space="preserve"> Aleša Grošlja, dr. med. (</w:t>
      </w:r>
      <w:r w:rsidR="00D20C6C" w:rsidRPr="00B27659">
        <w:t>01/5222 153</w:t>
      </w:r>
      <w:r w:rsidR="00D20C6C">
        <w:t xml:space="preserve">, </w:t>
      </w:r>
      <w:hyperlink r:id="rId13" w:history="1">
        <w:r w:rsidR="00D20C6C" w:rsidRPr="00B27659">
          <w:rPr>
            <w:rStyle w:val="Hyperlink"/>
          </w:rPr>
          <w:t>ales.groselj@kclj.si</w:t>
        </w:r>
      </w:hyperlink>
      <w:r w:rsidR="00D20C6C">
        <w:t xml:space="preserve">) ali </w:t>
      </w:r>
      <w:r w:rsidR="009F21D7">
        <w:t>na zdravnika</w:t>
      </w:r>
      <w:r w:rsidR="00D20C6C">
        <w:t xml:space="preserve"> v raziskavi</w:t>
      </w:r>
      <w:r w:rsidR="009F21D7">
        <w:t>, ki me bo zdravil.</w:t>
      </w:r>
    </w:p>
    <w:p w14:paraId="24BC5C77" w14:textId="6B5A08C6" w:rsidR="009A3D09" w:rsidRDefault="00497524" w:rsidP="00B706BB">
      <w:pPr>
        <w:jc w:val="both"/>
        <w:rPr>
          <w:rFonts w:cstheme="minorHAnsi"/>
        </w:rPr>
      </w:pPr>
      <w:r w:rsidRPr="005B6F3B">
        <w:rPr>
          <w:rFonts w:cstheme="minorHAnsi"/>
        </w:rPr>
        <w:t xml:space="preserve">Ko ste prebrali </w:t>
      </w:r>
      <w:r w:rsidRPr="005B6F3B">
        <w:t>celoten obrazec in če nimate dodatnih vprašanj, vas</w:t>
      </w:r>
      <w:r w:rsidR="00427686">
        <w:t xml:space="preserve"> prosimo</w:t>
      </w:r>
      <w:r w:rsidRPr="005B6F3B">
        <w:rPr>
          <w:rFonts w:cstheme="minorHAnsi"/>
        </w:rPr>
        <w:t xml:space="preserve">, </w:t>
      </w:r>
      <w:r w:rsidR="00D20C6C">
        <w:rPr>
          <w:rFonts w:cstheme="minorHAnsi"/>
        </w:rPr>
        <w:t>da podpišete soglasje.</w:t>
      </w:r>
    </w:p>
    <w:p w14:paraId="693403C4" w14:textId="77777777" w:rsidR="00D20C6C" w:rsidRDefault="00D20C6C" w:rsidP="00B706BB">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16"/>
      </w:tblGrid>
      <w:tr w:rsidR="00740394" w14:paraId="0A7DD4A4" w14:textId="77777777" w:rsidTr="00CF277B">
        <w:tc>
          <w:tcPr>
            <w:tcW w:w="7196" w:type="dxa"/>
            <w:tcBorders>
              <w:top w:val="single" w:sz="4" w:space="0" w:color="auto"/>
              <w:left w:val="single" w:sz="4" w:space="0" w:color="auto"/>
            </w:tcBorders>
          </w:tcPr>
          <w:p w14:paraId="0B815B6F" w14:textId="77777777" w:rsidR="00740394" w:rsidRDefault="00740394" w:rsidP="00B706BB">
            <w:pPr>
              <w:jc w:val="both"/>
            </w:pPr>
            <w:r>
              <w:t>Podpis</w:t>
            </w:r>
            <w:r w:rsidR="00B25428">
              <w:t xml:space="preserve"> </w:t>
            </w:r>
            <w:r w:rsidR="009F21D7">
              <w:t>bolnika</w:t>
            </w:r>
            <w:r>
              <w:t>:</w:t>
            </w:r>
          </w:p>
          <w:p w14:paraId="7C9D7402" w14:textId="77777777" w:rsidR="00740394" w:rsidRDefault="00740394" w:rsidP="00B706BB">
            <w:pPr>
              <w:jc w:val="both"/>
            </w:pPr>
          </w:p>
          <w:p w14:paraId="3F7863E4" w14:textId="77777777" w:rsidR="00740394" w:rsidRDefault="00740394" w:rsidP="00B706BB">
            <w:pPr>
              <w:jc w:val="both"/>
            </w:pPr>
          </w:p>
        </w:tc>
        <w:tc>
          <w:tcPr>
            <w:tcW w:w="2016" w:type="dxa"/>
            <w:tcBorders>
              <w:top w:val="single" w:sz="4" w:space="0" w:color="auto"/>
              <w:right w:val="single" w:sz="4" w:space="0" w:color="auto"/>
            </w:tcBorders>
          </w:tcPr>
          <w:p w14:paraId="089D02B7" w14:textId="77777777" w:rsidR="00740394" w:rsidRDefault="00740394" w:rsidP="00B706BB">
            <w:pPr>
              <w:jc w:val="both"/>
            </w:pPr>
            <w:r>
              <w:t>Datum</w:t>
            </w:r>
          </w:p>
        </w:tc>
      </w:tr>
      <w:tr w:rsidR="00740394" w14:paraId="45181A77" w14:textId="77777777" w:rsidTr="00CF277B">
        <w:tc>
          <w:tcPr>
            <w:tcW w:w="7196" w:type="dxa"/>
            <w:tcBorders>
              <w:left w:val="single" w:sz="4" w:space="0" w:color="auto"/>
              <w:bottom w:val="single" w:sz="4" w:space="0" w:color="auto"/>
            </w:tcBorders>
          </w:tcPr>
          <w:p w14:paraId="185346DC" w14:textId="77777777" w:rsidR="00740394" w:rsidRDefault="00740394" w:rsidP="00B706BB">
            <w:pPr>
              <w:jc w:val="both"/>
            </w:pPr>
            <w:r>
              <w:t xml:space="preserve">Tiskano ime </w:t>
            </w:r>
            <w:r w:rsidR="009F21D7">
              <w:t>bolnika</w:t>
            </w:r>
            <w:r>
              <w:t>:</w:t>
            </w:r>
          </w:p>
          <w:p w14:paraId="4DD23100" w14:textId="77777777" w:rsidR="00740394" w:rsidRDefault="00740394" w:rsidP="00B706BB">
            <w:pPr>
              <w:jc w:val="both"/>
            </w:pPr>
          </w:p>
          <w:p w14:paraId="13AEA6FE" w14:textId="77777777" w:rsidR="00740394" w:rsidRDefault="00740394" w:rsidP="00B706BB">
            <w:pPr>
              <w:jc w:val="both"/>
            </w:pPr>
          </w:p>
        </w:tc>
        <w:tc>
          <w:tcPr>
            <w:tcW w:w="2016" w:type="dxa"/>
            <w:tcBorders>
              <w:bottom w:val="single" w:sz="4" w:space="0" w:color="auto"/>
              <w:right w:val="single" w:sz="4" w:space="0" w:color="auto"/>
            </w:tcBorders>
          </w:tcPr>
          <w:p w14:paraId="2E491785" w14:textId="77777777" w:rsidR="00740394" w:rsidRDefault="00740394" w:rsidP="00B706BB">
            <w:pPr>
              <w:jc w:val="both"/>
            </w:pPr>
          </w:p>
        </w:tc>
      </w:tr>
      <w:tr w:rsidR="00740394" w14:paraId="4D5F8FE3" w14:textId="77777777" w:rsidTr="00CF277B">
        <w:tc>
          <w:tcPr>
            <w:tcW w:w="7196" w:type="dxa"/>
            <w:tcBorders>
              <w:top w:val="single" w:sz="4" w:space="0" w:color="auto"/>
              <w:left w:val="single" w:sz="4" w:space="0" w:color="auto"/>
            </w:tcBorders>
          </w:tcPr>
          <w:p w14:paraId="48BC1634" w14:textId="77777777" w:rsidR="00740394" w:rsidRDefault="00740394" w:rsidP="00B706BB">
            <w:pPr>
              <w:jc w:val="both"/>
            </w:pPr>
            <w:r w:rsidRPr="00C600B0">
              <w:t xml:space="preserve">Podpis </w:t>
            </w:r>
            <w:r w:rsidR="009F21D7">
              <w:t>zdravnika</w:t>
            </w:r>
            <w:r w:rsidRPr="00C600B0">
              <w:t>:</w:t>
            </w:r>
          </w:p>
          <w:p w14:paraId="72ACB3F6" w14:textId="77777777" w:rsidR="00740394" w:rsidRDefault="00740394" w:rsidP="00B706BB">
            <w:pPr>
              <w:jc w:val="both"/>
            </w:pPr>
          </w:p>
          <w:p w14:paraId="6680D3DC" w14:textId="77777777" w:rsidR="00740394" w:rsidRDefault="00740394" w:rsidP="00B706BB">
            <w:pPr>
              <w:jc w:val="both"/>
            </w:pPr>
          </w:p>
        </w:tc>
        <w:tc>
          <w:tcPr>
            <w:tcW w:w="2016" w:type="dxa"/>
            <w:tcBorders>
              <w:top w:val="single" w:sz="4" w:space="0" w:color="auto"/>
              <w:right w:val="single" w:sz="4" w:space="0" w:color="auto"/>
            </w:tcBorders>
          </w:tcPr>
          <w:p w14:paraId="774C838C" w14:textId="77777777" w:rsidR="00740394" w:rsidRDefault="00740394" w:rsidP="00B706BB">
            <w:pPr>
              <w:jc w:val="both"/>
            </w:pPr>
            <w:r>
              <w:t>Datum</w:t>
            </w:r>
          </w:p>
        </w:tc>
      </w:tr>
      <w:tr w:rsidR="00740394" w14:paraId="10DE7709" w14:textId="77777777" w:rsidTr="00CF277B">
        <w:tc>
          <w:tcPr>
            <w:tcW w:w="7196" w:type="dxa"/>
            <w:tcBorders>
              <w:left w:val="single" w:sz="4" w:space="0" w:color="auto"/>
              <w:bottom w:val="single" w:sz="4" w:space="0" w:color="auto"/>
            </w:tcBorders>
          </w:tcPr>
          <w:p w14:paraId="661FE562" w14:textId="77777777" w:rsidR="00740394" w:rsidRDefault="00740394" w:rsidP="00B706BB">
            <w:pPr>
              <w:jc w:val="both"/>
            </w:pPr>
            <w:r>
              <w:t>Tiskano ime</w:t>
            </w:r>
            <w:r w:rsidRPr="00C600B0">
              <w:t xml:space="preserve"> </w:t>
            </w:r>
            <w:r w:rsidR="009F21D7">
              <w:t>zdravnika</w:t>
            </w:r>
            <w:r w:rsidRPr="00C600B0">
              <w:t>:</w:t>
            </w:r>
          </w:p>
          <w:p w14:paraId="70AFCC59" w14:textId="77777777" w:rsidR="00740394" w:rsidRDefault="00740394" w:rsidP="00B706BB">
            <w:pPr>
              <w:jc w:val="both"/>
            </w:pPr>
          </w:p>
          <w:p w14:paraId="233F53D1" w14:textId="77777777" w:rsidR="00740394" w:rsidRDefault="00740394" w:rsidP="00B706BB">
            <w:pPr>
              <w:jc w:val="both"/>
            </w:pPr>
          </w:p>
          <w:p w14:paraId="4F7F388A" w14:textId="77777777" w:rsidR="00740394" w:rsidRDefault="00740394" w:rsidP="00B706BB">
            <w:pPr>
              <w:jc w:val="both"/>
            </w:pPr>
          </w:p>
        </w:tc>
        <w:tc>
          <w:tcPr>
            <w:tcW w:w="2016" w:type="dxa"/>
            <w:tcBorders>
              <w:bottom w:val="single" w:sz="4" w:space="0" w:color="auto"/>
              <w:right w:val="single" w:sz="4" w:space="0" w:color="auto"/>
            </w:tcBorders>
          </w:tcPr>
          <w:p w14:paraId="5EA8E823" w14:textId="77777777" w:rsidR="00740394" w:rsidRDefault="00740394" w:rsidP="00B706BB">
            <w:pPr>
              <w:jc w:val="both"/>
            </w:pPr>
          </w:p>
        </w:tc>
      </w:tr>
    </w:tbl>
    <w:p w14:paraId="41895276" w14:textId="77777777" w:rsidR="00497524" w:rsidRPr="00092BC5" w:rsidRDefault="00497524" w:rsidP="00B706BB">
      <w:pPr>
        <w:jc w:val="both"/>
        <w:rPr>
          <w:color w:val="FF0000"/>
        </w:rPr>
      </w:pPr>
    </w:p>
    <w:sectPr w:rsidR="00497524" w:rsidRPr="00092BC5" w:rsidSect="00C26DB0">
      <w:headerReference w:type="default" r:id="rId14"/>
      <w:pgSz w:w="11906" w:h="16838"/>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24AE" w16cex:dateUtc="2020-11-18T21:54:00Z"/>
  <w16cex:commentExtensible w16cex:durableId="236024BA" w16cex:dateUtc="2020-11-18T21:54:00Z"/>
  <w16cex:commentExtensible w16cex:durableId="2360257E" w16cex:dateUtc="2020-11-18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8DA76B" w16cid:durableId="236024AE"/>
  <w16cid:commentId w16cid:paraId="01B7940E" w16cid:durableId="236024BA"/>
  <w16cid:commentId w16cid:paraId="518D73A4" w16cid:durableId="23602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7F58F" w14:textId="77777777" w:rsidR="001C22CB" w:rsidRDefault="001C22CB" w:rsidP="000E5053">
      <w:pPr>
        <w:spacing w:after="0" w:line="240" w:lineRule="auto"/>
      </w:pPr>
      <w:r>
        <w:separator/>
      </w:r>
    </w:p>
  </w:endnote>
  <w:endnote w:type="continuationSeparator" w:id="0">
    <w:p w14:paraId="5B3B1BC3" w14:textId="77777777" w:rsidR="001C22CB" w:rsidRDefault="001C22CB" w:rsidP="000E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6F1C" w14:textId="77777777" w:rsidR="001C22CB" w:rsidRDefault="001C22CB" w:rsidP="000E5053">
      <w:pPr>
        <w:spacing w:after="0" w:line="240" w:lineRule="auto"/>
      </w:pPr>
      <w:r>
        <w:separator/>
      </w:r>
    </w:p>
  </w:footnote>
  <w:footnote w:type="continuationSeparator" w:id="0">
    <w:p w14:paraId="00763D1C" w14:textId="77777777" w:rsidR="001C22CB" w:rsidRDefault="001C22CB" w:rsidP="000E5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FAE6" w14:textId="77777777" w:rsidR="000E5053" w:rsidRDefault="009008A2" w:rsidP="009008A2">
    <w:pPr>
      <w:pStyle w:val="Header"/>
      <w:jc w:val="center"/>
    </w:pPr>
    <w:r>
      <w:rPr>
        <w:rFonts w:ascii="Georgia" w:hAnsi="Georgia"/>
        <w:noProof/>
        <w:color w:val="6D6D6D"/>
        <w:lang w:eastAsia="sl-SI"/>
      </w:rPr>
      <w:drawing>
        <wp:inline distT="0" distB="0" distL="0" distR="0" wp14:anchorId="1BAF6896" wp14:editId="334C028F">
          <wp:extent cx="2313940" cy="469265"/>
          <wp:effectExtent l="0" t="0" r="0" b="6985"/>
          <wp:docPr id="1" name="Picture 1" descr="cid:image001.png@01D6A87D.3F3A4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A87D.3F3A44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3940" cy="469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0B0B"/>
    <w:multiLevelType w:val="hybridMultilevel"/>
    <w:tmpl w:val="C10C597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6FD3F9D"/>
    <w:multiLevelType w:val="hybridMultilevel"/>
    <w:tmpl w:val="56FEC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4C6864"/>
    <w:multiLevelType w:val="hybridMultilevel"/>
    <w:tmpl w:val="3282F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6C48B4"/>
    <w:multiLevelType w:val="hybridMultilevel"/>
    <w:tmpl w:val="84541B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1NDY2MDQwNDExtDBW0lEKTi0uzszPAykwrAUA7W8U0ywAAAA="/>
  </w:docVars>
  <w:rsids>
    <w:rsidRoot w:val="00221579"/>
    <w:rsid w:val="00003EFF"/>
    <w:rsid w:val="00013873"/>
    <w:rsid w:val="00013A17"/>
    <w:rsid w:val="00015992"/>
    <w:rsid w:val="0001688A"/>
    <w:rsid w:val="000339A0"/>
    <w:rsid w:val="00054BE4"/>
    <w:rsid w:val="00066E14"/>
    <w:rsid w:val="000671D3"/>
    <w:rsid w:val="00073885"/>
    <w:rsid w:val="000867FB"/>
    <w:rsid w:val="00092BC5"/>
    <w:rsid w:val="00092DD1"/>
    <w:rsid w:val="000A1D66"/>
    <w:rsid w:val="000A685C"/>
    <w:rsid w:val="000B386A"/>
    <w:rsid w:val="000B6F1F"/>
    <w:rsid w:val="000D04CE"/>
    <w:rsid w:val="000D2CCA"/>
    <w:rsid w:val="000E5053"/>
    <w:rsid w:val="000F31F4"/>
    <w:rsid w:val="000F4C4C"/>
    <w:rsid w:val="0011212C"/>
    <w:rsid w:val="001255EC"/>
    <w:rsid w:val="00126CE8"/>
    <w:rsid w:val="00131396"/>
    <w:rsid w:val="00140F31"/>
    <w:rsid w:val="00150F23"/>
    <w:rsid w:val="00152699"/>
    <w:rsid w:val="00153533"/>
    <w:rsid w:val="001540B2"/>
    <w:rsid w:val="00155C46"/>
    <w:rsid w:val="00171183"/>
    <w:rsid w:val="001750F7"/>
    <w:rsid w:val="00181E6C"/>
    <w:rsid w:val="001A0ED7"/>
    <w:rsid w:val="001B38C2"/>
    <w:rsid w:val="001C22CB"/>
    <w:rsid w:val="001C4325"/>
    <w:rsid w:val="001C6695"/>
    <w:rsid w:val="001E311D"/>
    <w:rsid w:val="001F6159"/>
    <w:rsid w:val="002014F9"/>
    <w:rsid w:val="00211EDA"/>
    <w:rsid w:val="00216B03"/>
    <w:rsid w:val="00221579"/>
    <w:rsid w:val="00226123"/>
    <w:rsid w:val="00227D87"/>
    <w:rsid w:val="00232962"/>
    <w:rsid w:val="00236E17"/>
    <w:rsid w:val="00260D1A"/>
    <w:rsid w:val="002638FE"/>
    <w:rsid w:val="00267146"/>
    <w:rsid w:val="00273F9D"/>
    <w:rsid w:val="002753B2"/>
    <w:rsid w:val="00275FDC"/>
    <w:rsid w:val="002847D2"/>
    <w:rsid w:val="002951C0"/>
    <w:rsid w:val="00297AC8"/>
    <w:rsid w:val="002A0BCB"/>
    <w:rsid w:val="002A1FCD"/>
    <w:rsid w:val="002C0B7D"/>
    <w:rsid w:val="002C57AC"/>
    <w:rsid w:val="002D79F7"/>
    <w:rsid w:val="00303074"/>
    <w:rsid w:val="003150BE"/>
    <w:rsid w:val="00315810"/>
    <w:rsid w:val="00315A41"/>
    <w:rsid w:val="00322604"/>
    <w:rsid w:val="0032456C"/>
    <w:rsid w:val="00325D80"/>
    <w:rsid w:val="00327494"/>
    <w:rsid w:val="003345C3"/>
    <w:rsid w:val="00347A1B"/>
    <w:rsid w:val="00360179"/>
    <w:rsid w:val="00370A68"/>
    <w:rsid w:val="0039031E"/>
    <w:rsid w:val="00396B0E"/>
    <w:rsid w:val="003B62A1"/>
    <w:rsid w:val="003D3264"/>
    <w:rsid w:val="003D3B28"/>
    <w:rsid w:val="003E600F"/>
    <w:rsid w:val="003F32DA"/>
    <w:rsid w:val="003F7C54"/>
    <w:rsid w:val="004045D2"/>
    <w:rsid w:val="00414973"/>
    <w:rsid w:val="004157E7"/>
    <w:rsid w:val="00416EE2"/>
    <w:rsid w:val="00423DFC"/>
    <w:rsid w:val="00427686"/>
    <w:rsid w:val="00427C02"/>
    <w:rsid w:val="004363C8"/>
    <w:rsid w:val="00444A7F"/>
    <w:rsid w:val="0045740E"/>
    <w:rsid w:val="004752E7"/>
    <w:rsid w:val="004773BD"/>
    <w:rsid w:val="004828B9"/>
    <w:rsid w:val="00483125"/>
    <w:rsid w:val="00485E8A"/>
    <w:rsid w:val="00497524"/>
    <w:rsid w:val="004A38FB"/>
    <w:rsid w:val="004A6CB8"/>
    <w:rsid w:val="004B04E3"/>
    <w:rsid w:val="004B2604"/>
    <w:rsid w:val="004B2B90"/>
    <w:rsid w:val="004D4C3C"/>
    <w:rsid w:val="004E36CB"/>
    <w:rsid w:val="004E4245"/>
    <w:rsid w:val="004E5992"/>
    <w:rsid w:val="0050176A"/>
    <w:rsid w:val="005070F4"/>
    <w:rsid w:val="00514EE3"/>
    <w:rsid w:val="005274E7"/>
    <w:rsid w:val="005470EF"/>
    <w:rsid w:val="00550634"/>
    <w:rsid w:val="00552D82"/>
    <w:rsid w:val="00577A7A"/>
    <w:rsid w:val="0058018D"/>
    <w:rsid w:val="005821F1"/>
    <w:rsid w:val="00583865"/>
    <w:rsid w:val="00596A34"/>
    <w:rsid w:val="005A098B"/>
    <w:rsid w:val="005A41FF"/>
    <w:rsid w:val="005A6A47"/>
    <w:rsid w:val="005B3B1E"/>
    <w:rsid w:val="005B6F3B"/>
    <w:rsid w:val="005C0B12"/>
    <w:rsid w:val="005E0990"/>
    <w:rsid w:val="00620CE9"/>
    <w:rsid w:val="006371D7"/>
    <w:rsid w:val="006448EF"/>
    <w:rsid w:val="00650253"/>
    <w:rsid w:val="006508AB"/>
    <w:rsid w:val="00663A5F"/>
    <w:rsid w:val="00684CDA"/>
    <w:rsid w:val="006906CD"/>
    <w:rsid w:val="006A6775"/>
    <w:rsid w:val="006B391E"/>
    <w:rsid w:val="006B4224"/>
    <w:rsid w:val="006B5EA5"/>
    <w:rsid w:val="006B649C"/>
    <w:rsid w:val="006C4BEE"/>
    <w:rsid w:val="006C7BF3"/>
    <w:rsid w:val="006E330A"/>
    <w:rsid w:val="006F5400"/>
    <w:rsid w:val="007013E3"/>
    <w:rsid w:val="00701992"/>
    <w:rsid w:val="00702821"/>
    <w:rsid w:val="00717F63"/>
    <w:rsid w:val="00727388"/>
    <w:rsid w:val="00727456"/>
    <w:rsid w:val="007346B7"/>
    <w:rsid w:val="00734F64"/>
    <w:rsid w:val="007370AD"/>
    <w:rsid w:val="007377D8"/>
    <w:rsid w:val="00740394"/>
    <w:rsid w:val="00743AA5"/>
    <w:rsid w:val="007507A2"/>
    <w:rsid w:val="00757108"/>
    <w:rsid w:val="00765FBE"/>
    <w:rsid w:val="00791AB4"/>
    <w:rsid w:val="007A35B0"/>
    <w:rsid w:val="007B0D86"/>
    <w:rsid w:val="007C340C"/>
    <w:rsid w:val="007D64F0"/>
    <w:rsid w:val="007E3259"/>
    <w:rsid w:val="00810380"/>
    <w:rsid w:val="00812E2A"/>
    <w:rsid w:val="00813168"/>
    <w:rsid w:val="008516B3"/>
    <w:rsid w:val="00860F61"/>
    <w:rsid w:val="008835A8"/>
    <w:rsid w:val="00886E30"/>
    <w:rsid w:val="008B07BF"/>
    <w:rsid w:val="008B6481"/>
    <w:rsid w:val="008B6D22"/>
    <w:rsid w:val="008C36C0"/>
    <w:rsid w:val="008D65BC"/>
    <w:rsid w:val="008E1488"/>
    <w:rsid w:val="008E425A"/>
    <w:rsid w:val="009008A2"/>
    <w:rsid w:val="009062EC"/>
    <w:rsid w:val="0091716E"/>
    <w:rsid w:val="00921CB1"/>
    <w:rsid w:val="009279C6"/>
    <w:rsid w:val="00942CD8"/>
    <w:rsid w:val="0096546B"/>
    <w:rsid w:val="00982F3F"/>
    <w:rsid w:val="009A3D09"/>
    <w:rsid w:val="009E5C8E"/>
    <w:rsid w:val="009E6892"/>
    <w:rsid w:val="009F12EA"/>
    <w:rsid w:val="009F2040"/>
    <w:rsid w:val="009F21D7"/>
    <w:rsid w:val="009F58EF"/>
    <w:rsid w:val="00A010B0"/>
    <w:rsid w:val="00A115F6"/>
    <w:rsid w:val="00A15A9A"/>
    <w:rsid w:val="00A55037"/>
    <w:rsid w:val="00A561EC"/>
    <w:rsid w:val="00A700D9"/>
    <w:rsid w:val="00A7041B"/>
    <w:rsid w:val="00A769B5"/>
    <w:rsid w:val="00A909AD"/>
    <w:rsid w:val="00A9329C"/>
    <w:rsid w:val="00A9332E"/>
    <w:rsid w:val="00AA1929"/>
    <w:rsid w:val="00AA7367"/>
    <w:rsid w:val="00AB1751"/>
    <w:rsid w:val="00AB6FC7"/>
    <w:rsid w:val="00AC33E3"/>
    <w:rsid w:val="00AC7A07"/>
    <w:rsid w:val="00AD06DD"/>
    <w:rsid w:val="00AD5AFD"/>
    <w:rsid w:val="00AD6D05"/>
    <w:rsid w:val="00AD7AD3"/>
    <w:rsid w:val="00AE1FD6"/>
    <w:rsid w:val="00AE33C4"/>
    <w:rsid w:val="00B01153"/>
    <w:rsid w:val="00B046F7"/>
    <w:rsid w:val="00B1049C"/>
    <w:rsid w:val="00B21836"/>
    <w:rsid w:val="00B21988"/>
    <w:rsid w:val="00B25428"/>
    <w:rsid w:val="00B31BC8"/>
    <w:rsid w:val="00B3646A"/>
    <w:rsid w:val="00B44D2C"/>
    <w:rsid w:val="00B6091D"/>
    <w:rsid w:val="00B61C89"/>
    <w:rsid w:val="00B706BB"/>
    <w:rsid w:val="00B931AA"/>
    <w:rsid w:val="00B94DC5"/>
    <w:rsid w:val="00B955FD"/>
    <w:rsid w:val="00BC5EA0"/>
    <w:rsid w:val="00BD085D"/>
    <w:rsid w:val="00BD2A65"/>
    <w:rsid w:val="00BE1618"/>
    <w:rsid w:val="00BF1E01"/>
    <w:rsid w:val="00C26DB0"/>
    <w:rsid w:val="00C32831"/>
    <w:rsid w:val="00C555C4"/>
    <w:rsid w:val="00C600B0"/>
    <w:rsid w:val="00C70112"/>
    <w:rsid w:val="00CB06B4"/>
    <w:rsid w:val="00CC236B"/>
    <w:rsid w:val="00CE6734"/>
    <w:rsid w:val="00D04F93"/>
    <w:rsid w:val="00D20C6C"/>
    <w:rsid w:val="00D22638"/>
    <w:rsid w:val="00D22FC7"/>
    <w:rsid w:val="00D240CE"/>
    <w:rsid w:val="00D26B97"/>
    <w:rsid w:val="00D337A9"/>
    <w:rsid w:val="00D476A0"/>
    <w:rsid w:val="00D53344"/>
    <w:rsid w:val="00D5374B"/>
    <w:rsid w:val="00D57094"/>
    <w:rsid w:val="00D81F08"/>
    <w:rsid w:val="00D95526"/>
    <w:rsid w:val="00DB6B07"/>
    <w:rsid w:val="00DC54C4"/>
    <w:rsid w:val="00DC5CB9"/>
    <w:rsid w:val="00DD174C"/>
    <w:rsid w:val="00DD386A"/>
    <w:rsid w:val="00DE01F2"/>
    <w:rsid w:val="00DE758B"/>
    <w:rsid w:val="00E0156D"/>
    <w:rsid w:val="00E0754F"/>
    <w:rsid w:val="00E1247A"/>
    <w:rsid w:val="00E12969"/>
    <w:rsid w:val="00E13E84"/>
    <w:rsid w:val="00E16683"/>
    <w:rsid w:val="00E369EA"/>
    <w:rsid w:val="00E55D0D"/>
    <w:rsid w:val="00E634BF"/>
    <w:rsid w:val="00E6496C"/>
    <w:rsid w:val="00E74A18"/>
    <w:rsid w:val="00E7532F"/>
    <w:rsid w:val="00E851E3"/>
    <w:rsid w:val="00E91772"/>
    <w:rsid w:val="00EA2076"/>
    <w:rsid w:val="00EA2EB8"/>
    <w:rsid w:val="00EB23D6"/>
    <w:rsid w:val="00EE4555"/>
    <w:rsid w:val="00EE5F67"/>
    <w:rsid w:val="00EF1D30"/>
    <w:rsid w:val="00EF3F19"/>
    <w:rsid w:val="00F11A67"/>
    <w:rsid w:val="00F12182"/>
    <w:rsid w:val="00F37148"/>
    <w:rsid w:val="00F41703"/>
    <w:rsid w:val="00F44547"/>
    <w:rsid w:val="00F45AA5"/>
    <w:rsid w:val="00F4721D"/>
    <w:rsid w:val="00F55022"/>
    <w:rsid w:val="00F61A42"/>
    <w:rsid w:val="00F63482"/>
    <w:rsid w:val="00F67CE3"/>
    <w:rsid w:val="00F71E4F"/>
    <w:rsid w:val="00F8315E"/>
    <w:rsid w:val="00F93470"/>
    <w:rsid w:val="00FA1D20"/>
    <w:rsid w:val="00FA2732"/>
    <w:rsid w:val="00FA434A"/>
    <w:rsid w:val="00FA7FCA"/>
    <w:rsid w:val="00FB1E13"/>
    <w:rsid w:val="00FD27F1"/>
    <w:rsid w:val="00FE7B97"/>
    <w:rsid w:val="00FF5E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4239"/>
  <w15:docId w15:val="{ECBDA07C-BA9D-4441-BBF9-1062FA61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47"/>
    <w:pPr>
      <w:ind w:left="720"/>
      <w:contextualSpacing/>
    </w:pPr>
  </w:style>
  <w:style w:type="table" w:styleId="TableGrid">
    <w:name w:val="Table Grid"/>
    <w:basedOn w:val="TableNormal"/>
    <w:uiPriority w:val="59"/>
    <w:rsid w:val="009F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D2C"/>
    <w:rPr>
      <w:sz w:val="16"/>
      <w:szCs w:val="16"/>
    </w:rPr>
  </w:style>
  <w:style w:type="paragraph" w:styleId="CommentText">
    <w:name w:val="annotation text"/>
    <w:basedOn w:val="Normal"/>
    <w:link w:val="CommentTextChar"/>
    <w:uiPriority w:val="99"/>
    <w:semiHidden/>
    <w:unhideWhenUsed/>
    <w:rsid w:val="00B44D2C"/>
    <w:pPr>
      <w:spacing w:line="240" w:lineRule="auto"/>
    </w:pPr>
    <w:rPr>
      <w:sz w:val="20"/>
      <w:szCs w:val="20"/>
    </w:rPr>
  </w:style>
  <w:style w:type="character" w:customStyle="1" w:styleId="CommentTextChar">
    <w:name w:val="Comment Text Char"/>
    <w:basedOn w:val="DefaultParagraphFont"/>
    <w:link w:val="CommentText"/>
    <w:uiPriority w:val="99"/>
    <w:semiHidden/>
    <w:rsid w:val="00B44D2C"/>
    <w:rPr>
      <w:sz w:val="20"/>
      <w:szCs w:val="20"/>
    </w:rPr>
  </w:style>
  <w:style w:type="paragraph" w:styleId="CommentSubject">
    <w:name w:val="annotation subject"/>
    <w:basedOn w:val="CommentText"/>
    <w:next w:val="CommentText"/>
    <w:link w:val="CommentSubjectChar"/>
    <w:uiPriority w:val="99"/>
    <w:semiHidden/>
    <w:unhideWhenUsed/>
    <w:rsid w:val="00B44D2C"/>
    <w:rPr>
      <w:b/>
      <w:bCs/>
    </w:rPr>
  </w:style>
  <w:style w:type="character" w:customStyle="1" w:styleId="CommentSubjectChar">
    <w:name w:val="Comment Subject Char"/>
    <w:basedOn w:val="CommentTextChar"/>
    <w:link w:val="CommentSubject"/>
    <w:uiPriority w:val="99"/>
    <w:semiHidden/>
    <w:rsid w:val="00B44D2C"/>
    <w:rPr>
      <w:b/>
      <w:bCs/>
      <w:sz w:val="20"/>
      <w:szCs w:val="20"/>
    </w:rPr>
  </w:style>
  <w:style w:type="paragraph" w:styleId="BalloonText">
    <w:name w:val="Balloon Text"/>
    <w:basedOn w:val="Normal"/>
    <w:link w:val="BalloonTextChar"/>
    <w:uiPriority w:val="99"/>
    <w:semiHidden/>
    <w:unhideWhenUsed/>
    <w:rsid w:val="00B4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2C"/>
    <w:rPr>
      <w:rFonts w:ascii="Tahoma" w:hAnsi="Tahoma" w:cs="Tahoma"/>
      <w:sz w:val="16"/>
      <w:szCs w:val="16"/>
    </w:rPr>
  </w:style>
  <w:style w:type="character" w:styleId="Hyperlink">
    <w:name w:val="Hyperlink"/>
    <w:uiPriority w:val="99"/>
    <w:unhideWhenUsed/>
    <w:rsid w:val="00D20C6C"/>
    <w:rPr>
      <w:color w:val="0000FF"/>
      <w:u w:val="single"/>
    </w:rPr>
  </w:style>
  <w:style w:type="paragraph" w:styleId="BodyTextIndent">
    <w:name w:val="Body Text Indent"/>
    <w:basedOn w:val="Normal"/>
    <w:link w:val="BodyTextIndentChar"/>
    <w:uiPriority w:val="99"/>
    <w:rsid w:val="008C36C0"/>
    <w:pPr>
      <w:spacing w:after="120"/>
      <w:ind w:left="283"/>
    </w:pPr>
    <w:rPr>
      <w:rFonts w:ascii="Calibri" w:eastAsia="Calibri" w:hAnsi="Calibri" w:cs="Calibri"/>
    </w:rPr>
  </w:style>
  <w:style w:type="character" w:customStyle="1" w:styleId="BodyTextIndentChar">
    <w:name w:val="Body Text Indent Char"/>
    <w:basedOn w:val="DefaultParagraphFont"/>
    <w:link w:val="BodyTextIndent"/>
    <w:uiPriority w:val="99"/>
    <w:rsid w:val="008C36C0"/>
    <w:rPr>
      <w:rFonts w:ascii="Calibri" w:eastAsia="Calibri" w:hAnsi="Calibri" w:cs="Calibri"/>
    </w:rPr>
  </w:style>
  <w:style w:type="paragraph" w:styleId="Header">
    <w:name w:val="header"/>
    <w:basedOn w:val="Normal"/>
    <w:link w:val="HeaderChar"/>
    <w:uiPriority w:val="99"/>
    <w:unhideWhenUsed/>
    <w:rsid w:val="000E50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5053"/>
  </w:style>
  <w:style w:type="paragraph" w:styleId="Footer">
    <w:name w:val="footer"/>
    <w:basedOn w:val="Normal"/>
    <w:link w:val="FooterChar"/>
    <w:uiPriority w:val="99"/>
    <w:unhideWhenUsed/>
    <w:rsid w:val="000E50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s.groselj@kclj.si"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kme-nmec.si"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groselj@kclj.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d&#382;ambasovi&#263;@onko-i.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A87D.3F3A44D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569E-9EAD-40A3-B7E3-51364448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9830</Characters>
  <Application>Microsoft Office Word</Application>
  <DocSecurity>4</DocSecurity>
  <Lines>81</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Kaluža Vijoleta</cp:lastModifiedBy>
  <cp:revision>2</cp:revision>
  <dcterms:created xsi:type="dcterms:W3CDTF">2020-11-25T12:59:00Z</dcterms:created>
  <dcterms:modified xsi:type="dcterms:W3CDTF">2020-11-25T12:59:00Z</dcterms:modified>
</cp:coreProperties>
</file>